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24"/>
          <w:szCs w:val="32"/>
        </w:rPr>
      </w:pPr>
      <w:r>
        <w:rPr>
          <w:rFonts w:hint="eastAsia" w:ascii="黑体" w:hAnsi="黑体" w:eastAsia="黑体"/>
          <w:sz w:val="52"/>
          <w:szCs w:val="52"/>
        </w:rPr>
        <w:t>射洪市中医院电梯维保</w:t>
      </w:r>
    </w:p>
    <w:p>
      <w:pPr>
        <w:jc w:val="center"/>
        <w:rPr>
          <w:rFonts w:ascii="黑体" w:hAnsi="黑体" w:eastAsia="黑体"/>
        </w:rPr>
      </w:pPr>
    </w:p>
    <w:p>
      <w:pPr>
        <w:jc w:val="center"/>
        <w:rPr>
          <w:rFonts w:ascii="黑体" w:hAnsi="黑体" w:eastAsia="黑体"/>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r>
        <w:rPr>
          <w:rFonts w:hint="eastAsia" w:ascii="黑体" w:hAnsi="黑体" w:eastAsia="黑体"/>
          <w:sz w:val="96"/>
          <w:szCs w:val="96"/>
        </w:rPr>
        <w:t>招 标 文 件</w:t>
      </w: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ind w:firstLine="1920" w:firstLineChars="600"/>
        <w:rPr>
          <w:sz w:val="32"/>
        </w:rPr>
      </w:pPr>
      <w:r>
        <w:rPr>
          <w:rFonts w:hint="eastAsia"/>
          <w:sz w:val="32"/>
        </w:rPr>
        <w:t>招标单位：</w:t>
      </w:r>
      <w:r>
        <w:rPr>
          <w:rFonts w:hint="eastAsia"/>
          <w:sz w:val="32"/>
          <w:u w:val="single"/>
        </w:rPr>
        <w:t xml:space="preserve"> 射洪市中医院 </w:t>
      </w:r>
    </w:p>
    <w:p/>
    <w:p>
      <w:pPr>
        <w:jc w:val="center"/>
        <w:rPr>
          <w:sz w:val="32"/>
        </w:rPr>
      </w:pPr>
      <w:r>
        <w:rPr>
          <w:rFonts w:hint="eastAsia"/>
          <w:sz w:val="32"/>
        </w:rPr>
        <w:t xml:space="preserve">           </w:t>
      </w:r>
    </w:p>
    <w:p>
      <w:pPr>
        <w:ind w:firstLine="3113" w:firstLineChars="646"/>
        <w:rPr>
          <w:rStyle w:val="10"/>
          <w:rFonts w:ascii="楷体_GB2312" w:hAnsi="宋体" w:eastAsia="楷体_GB2312"/>
          <w:sz w:val="48"/>
          <w:szCs w:val="48"/>
        </w:rPr>
      </w:pPr>
    </w:p>
    <w:p>
      <w:pPr>
        <w:ind w:firstLine="3113" w:firstLineChars="646"/>
        <w:rPr>
          <w:rStyle w:val="10"/>
          <w:rFonts w:ascii="楷体_GB2312" w:hAnsi="宋体" w:eastAsia="楷体_GB2312"/>
          <w:sz w:val="48"/>
          <w:szCs w:val="48"/>
        </w:rPr>
      </w:pPr>
      <w:r>
        <w:rPr>
          <w:rStyle w:val="10"/>
          <w:rFonts w:hint="eastAsia" w:ascii="楷体_GB2312" w:hAnsi="宋体" w:eastAsia="楷体_GB2312"/>
          <w:sz w:val="48"/>
          <w:szCs w:val="48"/>
        </w:rPr>
        <w:t>招标邀请函</w:t>
      </w:r>
    </w:p>
    <w:p>
      <w:pPr>
        <w:spacing w:line="360" w:lineRule="auto"/>
        <w:ind w:left="798" w:leftChars="304" w:hanging="160" w:hangingChars="50"/>
        <w:rPr>
          <w:rFonts w:ascii="宋体" w:hAnsi="宋体"/>
          <w:sz w:val="32"/>
          <w:szCs w:val="32"/>
        </w:rPr>
      </w:pPr>
      <w:r>
        <w:rPr>
          <w:rFonts w:hint="eastAsia" w:ascii="宋体" w:hAnsi="宋体"/>
          <w:sz w:val="32"/>
          <w:szCs w:val="32"/>
        </w:rPr>
        <w:t xml:space="preserve">   </w:t>
      </w:r>
    </w:p>
    <w:p>
      <w:pPr>
        <w:spacing w:line="360" w:lineRule="auto"/>
        <w:ind w:left="958" w:leftChars="456" w:firstLine="480" w:firstLineChars="150"/>
        <w:rPr>
          <w:rFonts w:ascii="宋体" w:hAnsi="宋体"/>
          <w:sz w:val="32"/>
          <w:szCs w:val="32"/>
        </w:rPr>
      </w:pPr>
    </w:p>
    <w:p>
      <w:pPr>
        <w:spacing w:line="360" w:lineRule="auto"/>
        <w:ind w:left="958" w:leftChars="456" w:firstLine="480" w:firstLineChars="150"/>
        <w:jc w:val="left"/>
        <w:rPr>
          <w:rFonts w:ascii="楷体_GB2312" w:hAnsi="宋体" w:eastAsia="楷体_GB2312"/>
          <w:sz w:val="30"/>
          <w:szCs w:val="30"/>
        </w:rPr>
      </w:pPr>
      <w:r>
        <w:rPr>
          <w:rFonts w:hint="eastAsia" w:ascii="宋体" w:hAnsi="宋体"/>
          <w:sz w:val="32"/>
          <w:szCs w:val="32"/>
        </w:rPr>
        <w:t xml:space="preserve"> </w:t>
      </w:r>
      <w:r>
        <w:rPr>
          <w:rFonts w:hint="eastAsia" w:ascii="宋体" w:hAnsi="宋体"/>
          <w:sz w:val="32"/>
          <w:szCs w:val="32"/>
          <w:u w:val="single"/>
        </w:rPr>
        <w:t xml:space="preserve"> 射洪市太和街道美丰大道239号</w:t>
      </w:r>
      <w:r>
        <w:rPr>
          <w:rFonts w:hint="eastAsia" w:ascii="宋体" w:hAnsi="宋体"/>
          <w:sz w:val="32"/>
          <w:szCs w:val="32"/>
        </w:rPr>
        <w:t>(地址）</w:t>
      </w:r>
      <w:r>
        <w:rPr>
          <w:rFonts w:hint="eastAsia" w:ascii="宋体" w:hAnsi="宋体"/>
          <w:sz w:val="32"/>
          <w:szCs w:val="32"/>
          <w:u w:val="single"/>
          <w:lang w:val="en-US" w:eastAsia="zh-CN"/>
        </w:rPr>
        <w:t>13</w:t>
      </w:r>
      <w:r>
        <w:rPr>
          <w:rFonts w:hint="eastAsia" w:ascii="宋体" w:hAnsi="宋体"/>
          <w:sz w:val="32"/>
          <w:szCs w:val="32"/>
          <w:u w:val="single"/>
        </w:rPr>
        <w:t xml:space="preserve"> </w:t>
      </w:r>
      <w:r>
        <w:rPr>
          <w:rFonts w:hint="eastAsia" w:ascii="楷体_GB2312" w:eastAsia="楷体_GB2312"/>
          <w:sz w:val="32"/>
          <w:szCs w:val="32"/>
        </w:rPr>
        <w:t>部其中客运直梯</w:t>
      </w:r>
      <w:r>
        <w:rPr>
          <w:rFonts w:hint="eastAsia" w:ascii="楷体_GB2312" w:eastAsia="楷体_GB2312"/>
          <w:sz w:val="32"/>
          <w:szCs w:val="32"/>
          <w:lang w:val="en-US" w:eastAsia="zh-CN"/>
        </w:rPr>
        <w:t>7</w:t>
      </w:r>
      <w:r>
        <w:rPr>
          <w:rFonts w:hint="eastAsia" w:ascii="楷体_GB2312" w:eastAsia="楷体_GB2312"/>
          <w:sz w:val="32"/>
          <w:szCs w:val="32"/>
        </w:rPr>
        <w:t>台</w:t>
      </w:r>
      <w:r>
        <w:rPr>
          <w:rFonts w:hint="eastAsia" w:ascii="楷体_GB2312" w:eastAsia="楷体_GB2312"/>
          <w:sz w:val="32"/>
          <w:szCs w:val="32"/>
          <w:lang w:val="en-US" w:eastAsia="zh-CN"/>
        </w:rPr>
        <w:t>.</w:t>
      </w:r>
      <w:r>
        <w:rPr>
          <w:rFonts w:hint="eastAsia" w:ascii="楷体_GB2312" w:eastAsia="楷体_GB2312"/>
          <w:sz w:val="32"/>
          <w:szCs w:val="32"/>
        </w:rPr>
        <w:t>其中</w:t>
      </w:r>
      <w:r>
        <w:rPr>
          <w:rFonts w:hint="eastAsia" w:ascii="楷体_GB2312" w:eastAsia="楷体_GB2312"/>
          <w:sz w:val="32"/>
          <w:szCs w:val="32"/>
          <w:lang w:val="en-US" w:eastAsia="zh-CN"/>
        </w:rPr>
        <w:t>2</w:t>
      </w:r>
      <w:r>
        <w:rPr>
          <w:rFonts w:hint="eastAsia" w:ascii="楷体_GB2312" w:eastAsia="楷体_GB2312"/>
          <w:sz w:val="32"/>
          <w:szCs w:val="32"/>
        </w:rPr>
        <w:t>台</w:t>
      </w:r>
      <w:r>
        <w:rPr>
          <w:rFonts w:hint="eastAsia" w:ascii="楷体_GB2312" w:eastAsia="楷体_GB2312"/>
          <w:color w:val="FF0000"/>
          <w:sz w:val="32"/>
          <w:szCs w:val="32"/>
        </w:rPr>
        <w:t>（</w:t>
      </w:r>
      <w:r>
        <w:rPr>
          <w:rFonts w:hint="eastAsia" w:ascii="楷体_GB2312" w:eastAsia="楷体_GB2312"/>
          <w:color w:val="FF0000"/>
          <w:sz w:val="32"/>
          <w:szCs w:val="32"/>
          <w:u w:val="single"/>
        </w:rPr>
        <w:t>17</w:t>
      </w:r>
      <w:r>
        <w:rPr>
          <w:rFonts w:hint="eastAsia" w:ascii="楷体_GB2312" w:eastAsia="楷体_GB2312"/>
          <w:color w:val="FF0000"/>
          <w:sz w:val="32"/>
          <w:szCs w:val="32"/>
        </w:rPr>
        <w:t>层</w:t>
      </w:r>
      <w:r>
        <w:rPr>
          <w:rFonts w:hint="eastAsia" w:ascii="楷体_GB2312" w:eastAsia="楷体_GB2312"/>
          <w:color w:val="FF0000"/>
          <w:sz w:val="32"/>
          <w:szCs w:val="32"/>
          <w:u w:val="single"/>
        </w:rPr>
        <w:t>17</w:t>
      </w:r>
      <w:r>
        <w:rPr>
          <w:rFonts w:hint="eastAsia" w:ascii="楷体_GB2312" w:eastAsia="楷体_GB2312"/>
          <w:color w:val="FF0000"/>
          <w:sz w:val="32"/>
          <w:szCs w:val="32"/>
        </w:rPr>
        <w:t>站）</w:t>
      </w:r>
      <w:r>
        <w:rPr>
          <w:rFonts w:hint="eastAsia" w:ascii="楷体_GB2312" w:eastAsia="楷体_GB2312"/>
          <w:color w:val="FF0000"/>
          <w:sz w:val="32"/>
          <w:szCs w:val="32"/>
          <w:lang w:eastAsia="zh-CN"/>
        </w:rPr>
        <w:t>，</w:t>
      </w:r>
      <w:r>
        <w:rPr>
          <w:rFonts w:hint="eastAsia" w:ascii="楷体_GB2312" w:eastAsia="楷体_GB2312"/>
          <w:color w:val="FF0000"/>
          <w:sz w:val="32"/>
          <w:szCs w:val="32"/>
          <w:lang w:val="en-US" w:eastAsia="zh-CN"/>
        </w:rPr>
        <w:t>4</w:t>
      </w:r>
      <w:r>
        <w:rPr>
          <w:rFonts w:hint="eastAsia" w:ascii="楷体_GB2312" w:eastAsia="楷体_GB2312"/>
          <w:sz w:val="32"/>
          <w:szCs w:val="32"/>
        </w:rPr>
        <w:t>台</w:t>
      </w:r>
      <w:r>
        <w:rPr>
          <w:rFonts w:hint="eastAsia" w:ascii="楷体_GB2312" w:eastAsia="楷体_GB2312"/>
          <w:color w:val="FF0000"/>
          <w:sz w:val="32"/>
          <w:szCs w:val="32"/>
        </w:rPr>
        <w:t>（</w:t>
      </w:r>
      <w:r>
        <w:rPr>
          <w:rFonts w:hint="eastAsia" w:ascii="楷体_GB2312" w:eastAsia="楷体_GB2312"/>
          <w:color w:val="FF0000"/>
          <w:sz w:val="32"/>
          <w:szCs w:val="32"/>
          <w:u w:val="single"/>
        </w:rPr>
        <w:t>1</w:t>
      </w:r>
      <w:r>
        <w:rPr>
          <w:rFonts w:hint="eastAsia" w:ascii="楷体_GB2312" w:eastAsia="楷体_GB2312"/>
          <w:color w:val="FF0000"/>
          <w:sz w:val="32"/>
          <w:szCs w:val="32"/>
          <w:u w:val="single"/>
          <w:lang w:val="en-US" w:eastAsia="zh-CN"/>
        </w:rPr>
        <w:t>6</w:t>
      </w:r>
      <w:r>
        <w:rPr>
          <w:rFonts w:hint="eastAsia" w:ascii="楷体_GB2312" w:eastAsia="楷体_GB2312"/>
          <w:color w:val="FF0000"/>
          <w:sz w:val="32"/>
          <w:szCs w:val="32"/>
        </w:rPr>
        <w:t>层</w:t>
      </w:r>
      <w:r>
        <w:rPr>
          <w:rFonts w:hint="eastAsia" w:ascii="楷体_GB2312" w:eastAsia="楷体_GB2312"/>
          <w:color w:val="FF0000"/>
          <w:sz w:val="32"/>
          <w:szCs w:val="32"/>
          <w:u w:val="single"/>
        </w:rPr>
        <w:t>1</w:t>
      </w:r>
      <w:r>
        <w:rPr>
          <w:rFonts w:hint="eastAsia" w:ascii="楷体_GB2312" w:eastAsia="楷体_GB2312"/>
          <w:color w:val="FF0000"/>
          <w:sz w:val="32"/>
          <w:szCs w:val="32"/>
          <w:u w:val="single"/>
          <w:lang w:val="en-US" w:eastAsia="zh-CN"/>
        </w:rPr>
        <w:t>6</w:t>
      </w:r>
      <w:r>
        <w:rPr>
          <w:rFonts w:hint="eastAsia" w:ascii="楷体_GB2312" w:eastAsia="楷体_GB2312"/>
          <w:color w:val="FF0000"/>
          <w:sz w:val="32"/>
          <w:szCs w:val="32"/>
        </w:rPr>
        <w:t>站）</w:t>
      </w:r>
      <w:r>
        <w:rPr>
          <w:rFonts w:hint="eastAsia" w:ascii="楷体_GB2312" w:eastAsia="楷体_GB2312"/>
          <w:color w:val="FF0000"/>
          <w:sz w:val="32"/>
          <w:szCs w:val="32"/>
          <w:lang w:eastAsia="zh-CN"/>
        </w:rPr>
        <w:t>，</w:t>
      </w:r>
      <w:r>
        <w:rPr>
          <w:rFonts w:hint="eastAsia" w:ascii="楷体_GB2312" w:eastAsia="楷体_GB2312"/>
          <w:sz w:val="32"/>
          <w:szCs w:val="32"/>
        </w:rPr>
        <w:t>1台18层18站</w:t>
      </w:r>
      <w:r>
        <w:rPr>
          <w:rFonts w:hint="eastAsia" w:ascii="楷体_GB2312" w:eastAsia="楷体_GB2312"/>
          <w:sz w:val="32"/>
          <w:szCs w:val="32"/>
          <w:lang w:eastAsia="zh-CN"/>
        </w:rPr>
        <w:t>，</w:t>
      </w:r>
      <w:r>
        <w:rPr>
          <w:rFonts w:hint="eastAsia" w:ascii="楷体_GB2312" w:eastAsia="楷体_GB2312"/>
          <w:sz w:val="32"/>
          <w:szCs w:val="32"/>
        </w:rPr>
        <w:t>6台（自动扶梯）电梯</w:t>
      </w:r>
      <w:r>
        <w:rPr>
          <w:rFonts w:hint="eastAsia" w:ascii="楷体_GB2312" w:hAnsi="宋体" w:eastAsia="楷体_GB2312" w:cs="宋体"/>
          <w:bCs/>
          <w:kern w:val="0"/>
          <w:sz w:val="30"/>
          <w:szCs w:val="30"/>
        </w:rPr>
        <w:t>维护保养</w:t>
      </w:r>
      <w:r>
        <w:rPr>
          <w:rFonts w:hint="eastAsia" w:ascii="楷体_GB2312" w:hAnsi="宋体" w:eastAsia="楷体_GB2312"/>
          <w:sz w:val="30"/>
          <w:szCs w:val="30"/>
        </w:rPr>
        <w:t>邀请进行现场招标。本次招标要求具有维保资质，有良好社会信誉服务质量和维保实力的专业单位参加，并邀请贵单位前来投标。</w:t>
      </w:r>
      <w:r>
        <w:rPr>
          <w:rFonts w:hint="eastAsia" w:ascii="楷体_GB2312" w:hAnsi="宋体" w:eastAsia="楷体_GB2312"/>
          <w:sz w:val="30"/>
          <w:szCs w:val="30"/>
        </w:rPr>
        <w:br w:type="textWrapping"/>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spacing w:line="360" w:lineRule="auto"/>
        <w:rPr>
          <w:rFonts w:ascii="楷体_GB2312" w:hAnsi="宋体" w:eastAsia="楷体_GB2312"/>
          <w:sz w:val="30"/>
          <w:szCs w:val="30"/>
        </w:rPr>
      </w:pPr>
      <w:r>
        <w:rPr>
          <w:rFonts w:hint="eastAsia" w:ascii="楷体_GB2312" w:eastAsia="楷体_GB2312"/>
          <w:sz w:val="30"/>
          <w:szCs w:val="30"/>
        </w:rPr>
        <w:t>邀请方：</w:t>
      </w:r>
      <w:r>
        <w:rPr>
          <w:rFonts w:hint="eastAsia" w:ascii="楷体_GB2312" w:eastAsia="楷体_GB2312"/>
          <w:sz w:val="30"/>
          <w:szCs w:val="30"/>
          <w:u w:val="single"/>
        </w:rPr>
        <w:t xml:space="preserve">                                   </w:t>
      </w:r>
      <w:r>
        <w:rPr>
          <w:rFonts w:hint="eastAsia" w:ascii="楷体_GB2312" w:eastAsia="楷体_GB2312"/>
          <w:sz w:val="30"/>
          <w:szCs w:val="30"/>
        </w:rPr>
        <w:t>（公司名称）</w:t>
      </w:r>
      <w:r>
        <w:rPr>
          <w:rFonts w:hint="eastAsia" w:ascii="楷体_GB2312" w:hAnsi="宋体" w:eastAsia="楷体_GB2312"/>
          <w:bCs/>
          <w:sz w:val="30"/>
          <w:szCs w:val="30"/>
        </w:rPr>
        <w:t xml:space="preserve">         </w:t>
      </w:r>
      <w:r>
        <w:rPr>
          <w:rFonts w:hint="eastAsia" w:ascii="楷体_GB2312" w:hAnsi="宋体" w:eastAsia="楷体_GB2312"/>
          <w:sz w:val="30"/>
          <w:szCs w:val="30"/>
        </w:rPr>
        <w:br w:type="textWrapping"/>
      </w:r>
      <w:r>
        <w:rPr>
          <w:rFonts w:hint="eastAsia" w:ascii="宋体" w:hAnsi="宋体" w:eastAsia="楷体_GB2312"/>
          <w:sz w:val="30"/>
          <w:szCs w:val="30"/>
        </w:rPr>
        <w:t>   </w:t>
      </w:r>
      <w:r>
        <w:rPr>
          <w:rFonts w:hint="eastAsia" w:ascii="楷体_GB2312" w:hAnsi="宋体" w:eastAsia="楷体_GB2312"/>
          <w:sz w:val="30"/>
          <w:szCs w:val="30"/>
        </w:rPr>
        <w:t xml:space="preserve">                               </w:t>
      </w:r>
    </w:p>
    <w:p>
      <w:pPr>
        <w:spacing w:line="360" w:lineRule="auto"/>
        <w:ind w:firstLine="4800" w:firstLineChars="1600"/>
        <w:rPr>
          <w:rFonts w:ascii="楷体_GB2312" w:hAnsi="宋体" w:eastAsia="楷体_GB2312"/>
          <w:sz w:val="30"/>
          <w:szCs w:val="30"/>
        </w:rPr>
      </w:pPr>
      <w:r>
        <w:rPr>
          <w:rFonts w:hint="eastAsia" w:ascii="楷体_GB2312" w:hAnsi="宋体" w:eastAsia="楷体_GB2312"/>
          <w:sz w:val="30"/>
          <w:szCs w:val="30"/>
        </w:rPr>
        <w:t xml:space="preserve"> 年    月    日     </w:t>
      </w:r>
    </w:p>
    <w:p>
      <w:pPr>
        <w:rPr>
          <w:rFonts w:ascii="楷体_GB2312" w:hAnsi="宋体" w:eastAsia="楷体_GB2312"/>
          <w:sz w:val="30"/>
          <w:szCs w:val="30"/>
        </w:rPr>
      </w:pPr>
    </w:p>
    <w:p>
      <w:pPr>
        <w:adjustRightInd w:val="0"/>
        <w:snapToGrid w:val="0"/>
        <w:jc w:val="center"/>
        <w:rPr>
          <w:rFonts w:ascii="宋体" w:hAnsi="宋体"/>
          <w:b/>
          <w:sz w:val="36"/>
          <w:szCs w:val="36"/>
        </w:rPr>
      </w:pPr>
      <w:r>
        <w:rPr>
          <w:rFonts w:hint="eastAsia" w:ascii="宋体" w:hAnsi="宋体"/>
          <w:b/>
          <w:sz w:val="36"/>
          <w:szCs w:val="36"/>
        </w:rPr>
        <w:t>招 标 文 件</w:t>
      </w:r>
    </w:p>
    <w:p>
      <w:pPr>
        <w:spacing w:line="420" w:lineRule="exact"/>
        <w:rPr>
          <w:rFonts w:ascii="宋体" w:hAnsi="宋体"/>
          <w:b/>
          <w:bCs w:val="0"/>
          <w:szCs w:val="21"/>
        </w:rPr>
      </w:pPr>
      <w:r>
        <w:rPr>
          <w:rFonts w:hint="eastAsia" w:ascii="仿宋" w:hAnsi="仿宋" w:eastAsia="仿宋" w:cs="仿宋"/>
          <w:b/>
          <w:bCs w:val="0"/>
          <w:sz w:val="28"/>
          <w:szCs w:val="28"/>
        </w:rPr>
        <w:t>一、</w:t>
      </w:r>
      <w:r>
        <w:rPr>
          <w:rStyle w:val="10"/>
          <w:rFonts w:hint="eastAsia" w:ascii="仿宋" w:hAnsi="仿宋" w:eastAsia="仿宋" w:cs="仿宋"/>
          <w:b/>
          <w:bCs w:val="0"/>
          <w:sz w:val="28"/>
          <w:szCs w:val="28"/>
        </w:rPr>
        <w:t>投标单位资格要求：</w:t>
      </w:r>
    </w:p>
    <w:p>
      <w:pPr>
        <w:spacing w:line="420" w:lineRule="exact"/>
        <w:ind w:firstLine="551" w:firstLineChars="197"/>
        <w:rPr>
          <w:rFonts w:hint="eastAsia" w:ascii="仿宋" w:hAnsi="仿宋" w:eastAsia="仿宋" w:cs="仿宋"/>
          <w:kern w:val="0"/>
          <w:sz w:val="28"/>
          <w:szCs w:val="28"/>
        </w:rPr>
      </w:pPr>
      <w:r>
        <w:rPr>
          <w:rFonts w:hint="eastAsia" w:ascii="仿宋" w:hAnsi="仿宋" w:eastAsia="仿宋" w:cs="仿宋"/>
          <w:kern w:val="10"/>
          <w:sz w:val="28"/>
          <w:szCs w:val="28"/>
        </w:rPr>
        <w:t>1、具有独立法人资格，</w:t>
      </w:r>
      <w:r>
        <w:rPr>
          <w:rFonts w:hint="eastAsia" w:ascii="仿宋" w:hAnsi="仿宋" w:eastAsia="仿宋" w:cs="仿宋"/>
          <w:sz w:val="28"/>
          <w:szCs w:val="28"/>
        </w:rPr>
        <w:t>具备特种设备安装改造维修许可证书乘客电梯、载货电梯</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B</w:t>
      </w:r>
      <w:r>
        <w:rPr>
          <w:rFonts w:hint="eastAsia" w:ascii="仿宋" w:hAnsi="仿宋" w:eastAsia="仿宋" w:cs="仿宋"/>
          <w:sz w:val="28"/>
          <w:szCs w:val="28"/>
          <w:u w:val="single"/>
        </w:rPr>
        <w:t xml:space="preserve"> </w:t>
      </w:r>
      <w:r>
        <w:rPr>
          <w:rFonts w:hint="eastAsia" w:ascii="仿宋" w:hAnsi="仿宋" w:eastAsia="仿宋" w:cs="仿宋"/>
          <w:sz w:val="28"/>
          <w:szCs w:val="28"/>
        </w:rPr>
        <w:t>级以上（含</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B</w:t>
      </w:r>
      <w:r>
        <w:rPr>
          <w:rFonts w:hint="eastAsia" w:ascii="仿宋" w:hAnsi="仿宋" w:eastAsia="仿宋" w:cs="仿宋"/>
          <w:color w:val="FF0000"/>
          <w:sz w:val="28"/>
          <w:szCs w:val="28"/>
          <w:u w:val="single"/>
        </w:rPr>
        <w:t xml:space="preserve"> </w:t>
      </w:r>
      <w:r>
        <w:rPr>
          <w:rFonts w:hint="eastAsia" w:ascii="仿宋" w:hAnsi="仿宋" w:eastAsia="仿宋" w:cs="仿宋"/>
          <w:sz w:val="28"/>
          <w:szCs w:val="28"/>
        </w:rPr>
        <w:t>级）资质</w:t>
      </w:r>
      <w:r>
        <w:rPr>
          <w:rFonts w:hint="eastAsia" w:ascii="仿宋" w:hAnsi="仿宋" w:eastAsia="仿宋" w:cs="仿宋"/>
          <w:kern w:val="0"/>
          <w:sz w:val="28"/>
          <w:szCs w:val="28"/>
        </w:rPr>
        <w:t>。</w:t>
      </w:r>
    </w:p>
    <w:p>
      <w:pPr>
        <w:spacing w:line="420" w:lineRule="exact"/>
        <w:ind w:firstLine="551" w:firstLineChars="197"/>
        <w:rPr>
          <w:rFonts w:hint="eastAsia" w:ascii="仿宋" w:hAnsi="仿宋" w:eastAsia="仿宋" w:cs="仿宋"/>
          <w:kern w:val="10"/>
          <w:sz w:val="28"/>
          <w:szCs w:val="28"/>
        </w:rPr>
      </w:pPr>
      <w:r>
        <w:rPr>
          <w:rFonts w:hint="eastAsia" w:ascii="仿宋" w:hAnsi="仿宋" w:eastAsia="仿宋" w:cs="仿宋"/>
          <w:kern w:val="0"/>
          <w:sz w:val="28"/>
          <w:szCs w:val="28"/>
        </w:rPr>
        <w:t>2、具有</w:t>
      </w:r>
      <w:r>
        <w:rPr>
          <w:rFonts w:hint="eastAsia" w:ascii="仿宋" w:hAnsi="仿宋" w:eastAsia="仿宋" w:cs="仿宋"/>
          <w:sz w:val="28"/>
          <w:szCs w:val="28"/>
        </w:rPr>
        <w:t>专业电梯维保团队及电梯相应操作证，</w:t>
      </w:r>
      <w:r>
        <w:rPr>
          <w:rFonts w:hint="eastAsia" w:ascii="仿宋" w:hAnsi="仿宋" w:eastAsia="仿宋" w:cs="仿宋"/>
          <w:kern w:val="10"/>
          <w:sz w:val="28"/>
          <w:szCs w:val="28"/>
        </w:rPr>
        <w:t>以及</w:t>
      </w:r>
      <w:r>
        <w:rPr>
          <w:rFonts w:hint="eastAsia" w:ascii="仿宋" w:hAnsi="仿宋" w:eastAsia="仿宋" w:cs="仿宋"/>
          <w:sz w:val="28"/>
          <w:szCs w:val="28"/>
        </w:rPr>
        <w:t>良好服务质量和社会信誉</w:t>
      </w:r>
      <w:r>
        <w:rPr>
          <w:rFonts w:hint="eastAsia" w:ascii="仿宋" w:hAnsi="仿宋" w:eastAsia="仿宋" w:cs="仿宋"/>
          <w:kern w:val="10"/>
          <w:sz w:val="28"/>
          <w:szCs w:val="28"/>
        </w:rPr>
        <w:t>单位，且在近三年维护保养过程中未发生过重大安全责任事故的。</w:t>
      </w:r>
    </w:p>
    <w:p>
      <w:pPr>
        <w:spacing w:line="420" w:lineRule="exact"/>
        <w:ind w:firstLine="551" w:firstLineChars="197"/>
        <w:rPr>
          <w:rFonts w:hint="eastAsia" w:ascii="仿宋" w:hAnsi="仿宋" w:eastAsia="仿宋" w:cs="仿宋"/>
          <w:kern w:val="10"/>
          <w:sz w:val="28"/>
          <w:szCs w:val="28"/>
        </w:rPr>
      </w:pPr>
      <w:r>
        <w:rPr>
          <w:rFonts w:hint="eastAsia" w:ascii="仿宋" w:hAnsi="仿宋" w:eastAsia="仿宋" w:cs="仿宋"/>
          <w:kern w:val="10"/>
          <w:sz w:val="28"/>
          <w:szCs w:val="28"/>
        </w:rPr>
        <w:t>3、投标方根据营业执照规定的经营范围和相应的资质和能力，超越规定的经营范围和相应的资质和能力的投标项目将被拒绝。</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10"/>
          <w:sz w:val="28"/>
          <w:szCs w:val="28"/>
        </w:rPr>
        <w:t>4、投标方应根据招标文件要求及国家规范标准和四川省工程建设行业验收标准执行。</w:t>
      </w:r>
      <w:r>
        <w:rPr>
          <w:rFonts w:hint="eastAsia" w:ascii="仿宋" w:hAnsi="仿宋" w:eastAsia="仿宋" w:cs="仿宋"/>
          <w:kern w:val="0"/>
          <w:sz w:val="28"/>
          <w:szCs w:val="28"/>
        </w:rPr>
        <w:t xml:space="preserve"> </w:t>
      </w:r>
    </w:p>
    <w:p>
      <w:pPr>
        <w:spacing w:line="420" w:lineRule="exact"/>
        <w:ind w:firstLine="551" w:firstLineChars="197"/>
        <w:rPr>
          <w:rFonts w:hint="eastAsia" w:ascii="仿宋" w:hAnsi="仿宋" w:eastAsia="仿宋" w:cs="仿宋"/>
          <w:kern w:val="10"/>
          <w:sz w:val="28"/>
          <w:szCs w:val="28"/>
        </w:rPr>
      </w:pPr>
      <w:r>
        <w:rPr>
          <w:rFonts w:hint="eastAsia" w:ascii="仿宋" w:hAnsi="仿宋" w:eastAsia="仿宋" w:cs="仿宋"/>
          <w:kern w:val="10"/>
          <w:sz w:val="28"/>
          <w:szCs w:val="28"/>
        </w:rPr>
        <w:t>5、投标方应具备资格证明文件（有效营业执照副本、有效税务登记证、组织机构代码证、</w:t>
      </w:r>
      <w:r>
        <w:rPr>
          <w:rFonts w:hint="eastAsia" w:ascii="仿宋" w:hAnsi="仿宋" w:eastAsia="仿宋" w:cs="仿宋"/>
          <w:sz w:val="28"/>
          <w:szCs w:val="28"/>
        </w:rPr>
        <w:t>企业法人代表证书及法人身份证复印件、法人授权委托书、</w:t>
      </w:r>
      <w:r>
        <w:rPr>
          <w:rFonts w:hint="eastAsia" w:ascii="仿宋" w:hAnsi="仿宋" w:eastAsia="仿宋" w:cs="仿宋"/>
          <w:kern w:val="10"/>
          <w:sz w:val="28"/>
          <w:szCs w:val="28"/>
        </w:rPr>
        <w:t>相关资质证书等，复印件加盖公章）。</w:t>
      </w:r>
    </w:p>
    <w:p>
      <w:pPr>
        <w:pStyle w:val="4"/>
        <w:snapToGrid w:val="0"/>
        <w:spacing w:line="3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6、投标方应具有从事电梯安装、维修管理工作3年以上的资历，有电梯安装维修管理经验。</w:t>
      </w:r>
    </w:p>
    <w:p>
      <w:pPr>
        <w:spacing w:line="420" w:lineRule="exact"/>
        <w:ind w:firstLine="551" w:firstLineChars="197"/>
        <w:rPr>
          <w:rFonts w:hint="eastAsia" w:ascii="仿宋" w:hAnsi="仿宋" w:eastAsia="仿宋" w:cs="仿宋"/>
          <w:kern w:val="10"/>
          <w:sz w:val="28"/>
          <w:szCs w:val="28"/>
        </w:rPr>
      </w:pPr>
      <w:r>
        <w:rPr>
          <w:rFonts w:hint="eastAsia" w:ascii="仿宋" w:hAnsi="仿宋" w:eastAsia="仿宋" w:cs="仿宋"/>
          <w:kern w:val="10"/>
          <w:sz w:val="28"/>
          <w:szCs w:val="28"/>
        </w:rPr>
        <w:t>7、投标单位须交保证金1</w:t>
      </w:r>
      <w:r>
        <w:rPr>
          <w:rFonts w:hint="eastAsia" w:ascii="仿宋" w:hAnsi="仿宋" w:eastAsia="仿宋" w:cs="仿宋"/>
          <w:kern w:val="10"/>
          <w:sz w:val="28"/>
          <w:szCs w:val="28"/>
          <w:u w:val="single"/>
        </w:rPr>
        <w:t>000</w:t>
      </w:r>
      <w:r>
        <w:rPr>
          <w:rFonts w:hint="eastAsia" w:ascii="仿宋" w:hAnsi="仿宋" w:eastAsia="仿宋" w:cs="仿宋"/>
          <w:kern w:val="10"/>
          <w:sz w:val="28"/>
          <w:szCs w:val="28"/>
        </w:rPr>
        <w:t>元，招标结束后，保证金无息退回投标单位；</w:t>
      </w:r>
    </w:p>
    <w:p>
      <w:pPr>
        <w:pStyle w:val="4"/>
        <w:snapToGrid w:val="0"/>
        <w:spacing w:line="3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8、本投标不接受再分包。</w:t>
      </w:r>
    </w:p>
    <w:p>
      <w:pPr>
        <w:spacing w:line="420" w:lineRule="exact"/>
        <w:rPr>
          <w:rFonts w:hint="eastAsia" w:ascii="仿宋" w:hAnsi="仿宋" w:eastAsia="仿宋" w:cs="仿宋"/>
          <w:b/>
          <w:bCs w:val="0"/>
          <w:sz w:val="28"/>
          <w:szCs w:val="28"/>
        </w:rPr>
      </w:pPr>
      <w:r>
        <w:rPr>
          <w:rFonts w:hint="eastAsia" w:ascii="仿宋" w:hAnsi="仿宋" w:eastAsia="仿宋" w:cs="仿宋"/>
          <w:b/>
          <w:bCs w:val="0"/>
          <w:sz w:val="28"/>
          <w:szCs w:val="28"/>
        </w:rPr>
        <w:t>二、招标内容</w:t>
      </w:r>
    </w:p>
    <w:p>
      <w:pPr>
        <w:spacing w:line="420" w:lineRule="exact"/>
        <w:rPr>
          <w:rFonts w:hint="eastAsia" w:ascii="仿宋" w:hAnsi="仿宋" w:eastAsia="仿宋" w:cs="仿宋"/>
          <w:b/>
          <w:sz w:val="28"/>
          <w:szCs w:val="28"/>
        </w:rPr>
      </w:pPr>
      <w:r>
        <w:rPr>
          <w:rFonts w:hint="eastAsia" w:ascii="仿宋" w:hAnsi="仿宋" w:eastAsia="仿宋" w:cs="仿宋"/>
          <w:kern w:val="0"/>
          <w:sz w:val="28"/>
          <w:szCs w:val="28"/>
        </w:rPr>
        <w:t>电梯规格层/站/门/</w:t>
      </w:r>
      <w:r>
        <w:rPr>
          <w:rFonts w:hint="eastAsia" w:ascii="仿宋" w:hAnsi="仿宋" w:eastAsia="仿宋" w:cs="仿宋"/>
          <w:sz w:val="28"/>
          <w:szCs w:val="28"/>
        </w:rPr>
        <w:t>台数/地点</w:t>
      </w:r>
    </w:p>
    <w:p>
      <w:pPr>
        <w:spacing w:line="420" w:lineRule="exact"/>
        <w:ind w:firstLine="316" w:firstLineChars="150"/>
        <w:rPr>
          <w:rFonts w:ascii="宋体" w:hAnsi="宋体"/>
          <w:b/>
          <w:szCs w:val="21"/>
        </w:rPr>
      </w:pPr>
    </w:p>
    <w:tbl>
      <w:tblPr>
        <w:tblStyle w:val="7"/>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260"/>
        <w:gridCol w:w="1080"/>
        <w:gridCol w:w="2160"/>
        <w:gridCol w:w="126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20" w:type="dxa"/>
            <w:vAlign w:val="center"/>
          </w:tcPr>
          <w:p>
            <w:pPr>
              <w:spacing w:line="420" w:lineRule="exact"/>
              <w:jc w:val="center"/>
              <w:rPr>
                <w:rFonts w:ascii="宋体" w:hAnsi="宋体"/>
                <w:b/>
                <w:szCs w:val="21"/>
              </w:rPr>
            </w:pPr>
            <w:r>
              <w:rPr>
                <w:rFonts w:hint="eastAsia" w:ascii="宋体" w:hAnsi="宋体"/>
                <w:b/>
                <w:szCs w:val="21"/>
              </w:rPr>
              <w:t>名称</w:t>
            </w:r>
          </w:p>
        </w:tc>
        <w:tc>
          <w:tcPr>
            <w:tcW w:w="1620" w:type="dxa"/>
            <w:vAlign w:val="center"/>
          </w:tcPr>
          <w:p>
            <w:pPr>
              <w:spacing w:line="420" w:lineRule="exact"/>
              <w:jc w:val="center"/>
              <w:rPr>
                <w:rFonts w:ascii="宋体" w:hAnsi="宋体"/>
                <w:b/>
                <w:szCs w:val="21"/>
              </w:rPr>
            </w:pPr>
            <w:r>
              <w:rPr>
                <w:rFonts w:hint="eastAsia" w:ascii="宋体" w:hAnsi="宋体"/>
                <w:b/>
                <w:szCs w:val="21"/>
              </w:rPr>
              <w:t>规格型号</w:t>
            </w:r>
          </w:p>
        </w:tc>
        <w:tc>
          <w:tcPr>
            <w:tcW w:w="1260" w:type="dxa"/>
            <w:vAlign w:val="center"/>
          </w:tcPr>
          <w:p>
            <w:pPr>
              <w:spacing w:line="420" w:lineRule="exact"/>
              <w:jc w:val="center"/>
              <w:rPr>
                <w:rFonts w:ascii="宋体" w:hAnsi="宋体"/>
                <w:b/>
                <w:szCs w:val="21"/>
              </w:rPr>
            </w:pPr>
            <w:r>
              <w:rPr>
                <w:rFonts w:hint="eastAsia" w:ascii="宋体" w:hAnsi="宋体"/>
                <w:b/>
                <w:szCs w:val="21"/>
              </w:rPr>
              <w:t>数量</w:t>
            </w:r>
          </w:p>
        </w:tc>
        <w:tc>
          <w:tcPr>
            <w:tcW w:w="1080" w:type="dxa"/>
            <w:vAlign w:val="center"/>
          </w:tcPr>
          <w:p>
            <w:pPr>
              <w:spacing w:line="420" w:lineRule="exact"/>
              <w:jc w:val="center"/>
              <w:rPr>
                <w:rFonts w:ascii="宋体" w:hAnsi="宋体"/>
                <w:b/>
                <w:szCs w:val="21"/>
              </w:rPr>
            </w:pPr>
            <w:r>
              <w:rPr>
                <w:rFonts w:hint="eastAsia" w:ascii="宋体" w:hAnsi="宋体"/>
                <w:b/>
                <w:szCs w:val="21"/>
              </w:rPr>
              <w:t>层站</w:t>
            </w:r>
          </w:p>
        </w:tc>
        <w:tc>
          <w:tcPr>
            <w:tcW w:w="2160" w:type="dxa"/>
            <w:vAlign w:val="center"/>
          </w:tcPr>
          <w:p>
            <w:pPr>
              <w:spacing w:line="420" w:lineRule="exact"/>
              <w:jc w:val="center"/>
              <w:rPr>
                <w:rFonts w:ascii="宋体" w:hAnsi="宋体"/>
                <w:b/>
                <w:szCs w:val="21"/>
              </w:rPr>
            </w:pPr>
            <w:r>
              <w:rPr>
                <w:rFonts w:hint="eastAsia" w:ascii="宋体" w:hAnsi="宋体"/>
                <w:b/>
                <w:szCs w:val="21"/>
              </w:rPr>
              <w:t>维保地点</w:t>
            </w:r>
          </w:p>
        </w:tc>
        <w:tc>
          <w:tcPr>
            <w:tcW w:w="1260" w:type="dxa"/>
            <w:vAlign w:val="center"/>
          </w:tcPr>
          <w:p>
            <w:pPr>
              <w:spacing w:line="420" w:lineRule="exact"/>
              <w:jc w:val="center"/>
              <w:rPr>
                <w:rFonts w:ascii="宋体" w:hAnsi="宋体"/>
                <w:b/>
                <w:szCs w:val="21"/>
              </w:rPr>
            </w:pPr>
            <w:r>
              <w:rPr>
                <w:rFonts w:hint="eastAsia" w:ascii="宋体" w:hAnsi="宋体"/>
                <w:b/>
                <w:szCs w:val="21"/>
              </w:rPr>
              <w:t>安装日期</w:t>
            </w:r>
          </w:p>
        </w:tc>
        <w:tc>
          <w:tcPr>
            <w:tcW w:w="1065" w:type="dxa"/>
            <w:vAlign w:val="center"/>
          </w:tcPr>
          <w:p>
            <w:pPr>
              <w:widowControl/>
              <w:jc w:val="left"/>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20" w:type="dxa"/>
            <w:vAlign w:val="center"/>
          </w:tcPr>
          <w:p>
            <w:pPr>
              <w:spacing w:line="420" w:lineRule="exact"/>
              <w:ind w:firstLine="316" w:firstLineChars="150"/>
              <w:jc w:val="center"/>
              <w:rPr>
                <w:rFonts w:ascii="宋体" w:hAnsi="宋体"/>
                <w:b/>
                <w:szCs w:val="21"/>
              </w:rPr>
            </w:pPr>
            <w:r>
              <w:rPr>
                <w:rFonts w:hint="eastAsia" w:ascii="宋体" w:hAnsi="宋体"/>
                <w:b/>
                <w:szCs w:val="21"/>
                <w:u w:val="single"/>
              </w:rPr>
              <w:t xml:space="preserve">客运  </w:t>
            </w:r>
            <w:r>
              <w:rPr>
                <w:rFonts w:hint="eastAsia" w:ascii="宋体" w:hAnsi="宋体"/>
                <w:b/>
                <w:szCs w:val="21"/>
              </w:rPr>
              <w:t>电梯</w:t>
            </w:r>
          </w:p>
          <w:p>
            <w:pPr>
              <w:spacing w:line="420" w:lineRule="exact"/>
              <w:ind w:firstLine="316" w:firstLineChars="150"/>
              <w:jc w:val="center"/>
              <w:rPr>
                <w:rFonts w:ascii="宋体" w:hAnsi="宋体"/>
                <w:b/>
                <w:szCs w:val="21"/>
              </w:rPr>
            </w:pPr>
            <w:r>
              <w:rPr>
                <w:rFonts w:hint="eastAsia" w:ascii="宋体" w:hAnsi="宋体"/>
                <w:b/>
                <w:szCs w:val="21"/>
              </w:rPr>
              <w:t>（有机房）</w:t>
            </w:r>
          </w:p>
        </w:tc>
        <w:tc>
          <w:tcPr>
            <w:tcW w:w="1620" w:type="dxa"/>
            <w:vAlign w:val="center"/>
          </w:tcPr>
          <w:p>
            <w:pPr>
              <w:spacing w:line="420" w:lineRule="exact"/>
              <w:jc w:val="center"/>
              <w:rPr>
                <w:rFonts w:ascii="宋体" w:hAnsi="宋体"/>
                <w:b/>
                <w:szCs w:val="21"/>
              </w:rPr>
            </w:pPr>
            <w:r>
              <w:rPr>
                <w:rFonts w:hint="eastAsia" w:ascii="宋体" w:hAnsi="宋体"/>
                <w:b/>
                <w:szCs w:val="21"/>
              </w:rPr>
              <w:t>FHSB1600/1.75</w:t>
            </w:r>
          </w:p>
        </w:tc>
        <w:tc>
          <w:tcPr>
            <w:tcW w:w="1260" w:type="dxa"/>
            <w:vAlign w:val="center"/>
          </w:tcPr>
          <w:p>
            <w:pPr>
              <w:spacing w:line="420" w:lineRule="exact"/>
              <w:jc w:val="center"/>
              <w:rPr>
                <w:rFonts w:hint="eastAsia" w:ascii="宋体" w:hAnsi="宋体" w:eastAsia="宋体"/>
                <w:b/>
                <w:szCs w:val="21"/>
                <w:lang w:val="en-US" w:eastAsia="zh-CN"/>
              </w:rPr>
            </w:pPr>
            <w:r>
              <w:rPr>
                <w:rFonts w:hint="eastAsia" w:ascii="宋体" w:hAnsi="宋体"/>
                <w:b/>
                <w:szCs w:val="21"/>
                <w:lang w:val="en-US" w:eastAsia="zh-CN"/>
              </w:rPr>
              <w:t>2</w:t>
            </w:r>
          </w:p>
        </w:tc>
        <w:tc>
          <w:tcPr>
            <w:tcW w:w="1080" w:type="dxa"/>
            <w:vAlign w:val="center"/>
          </w:tcPr>
          <w:p>
            <w:pPr>
              <w:spacing w:line="420" w:lineRule="exact"/>
              <w:jc w:val="center"/>
              <w:rPr>
                <w:rFonts w:ascii="宋体" w:hAnsi="宋体"/>
                <w:b/>
                <w:szCs w:val="21"/>
              </w:rPr>
            </w:pPr>
            <w:r>
              <w:rPr>
                <w:rFonts w:hint="eastAsia" w:ascii="宋体" w:hAnsi="宋体"/>
                <w:b/>
                <w:szCs w:val="21"/>
                <w:u w:val="single"/>
              </w:rPr>
              <w:t xml:space="preserve"> 17 </w:t>
            </w:r>
            <w:r>
              <w:rPr>
                <w:rFonts w:hint="eastAsia" w:ascii="宋体" w:hAnsi="宋体"/>
                <w:b/>
                <w:szCs w:val="21"/>
              </w:rPr>
              <w:t>层</w:t>
            </w:r>
            <w:r>
              <w:rPr>
                <w:rFonts w:hint="eastAsia" w:ascii="宋体" w:hAnsi="宋体"/>
                <w:b/>
                <w:szCs w:val="21"/>
                <w:u w:val="single"/>
              </w:rPr>
              <w:t xml:space="preserve">   </w:t>
            </w:r>
            <w:r>
              <w:rPr>
                <w:rFonts w:hint="eastAsia" w:ascii="宋体" w:hAnsi="宋体"/>
                <w:b/>
                <w:szCs w:val="21"/>
              </w:rPr>
              <w:t xml:space="preserve"> 17站</w:t>
            </w:r>
          </w:p>
        </w:tc>
        <w:tc>
          <w:tcPr>
            <w:tcW w:w="2160" w:type="dxa"/>
            <w:vAlign w:val="center"/>
          </w:tcPr>
          <w:p>
            <w:pPr>
              <w:spacing w:line="420" w:lineRule="exact"/>
              <w:jc w:val="center"/>
              <w:rPr>
                <w:rFonts w:ascii="宋体" w:hAnsi="宋体"/>
                <w:b/>
                <w:szCs w:val="21"/>
              </w:rPr>
            </w:pPr>
            <w:r>
              <w:rPr>
                <w:rFonts w:hint="eastAsia" w:ascii="宋体" w:hAnsi="宋体"/>
                <w:b/>
                <w:szCs w:val="21"/>
              </w:rPr>
              <w:t>射洪市太和街道美丰大道239号</w:t>
            </w:r>
          </w:p>
        </w:tc>
        <w:tc>
          <w:tcPr>
            <w:tcW w:w="1260" w:type="dxa"/>
            <w:vAlign w:val="center"/>
          </w:tcPr>
          <w:p>
            <w:pPr>
              <w:spacing w:line="420" w:lineRule="exact"/>
              <w:jc w:val="center"/>
              <w:rPr>
                <w:rFonts w:ascii="宋体" w:hAnsi="宋体"/>
                <w:b/>
                <w:szCs w:val="21"/>
              </w:rPr>
            </w:pPr>
            <w:r>
              <w:rPr>
                <w:rFonts w:hint="eastAsia" w:ascii="宋体" w:hAnsi="宋体"/>
                <w:b/>
                <w:szCs w:val="21"/>
              </w:rPr>
              <w:t>2017年</w:t>
            </w:r>
          </w:p>
        </w:tc>
        <w:tc>
          <w:tcPr>
            <w:tcW w:w="1065" w:type="dxa"/>
            <w:vAlign w:val="center"/>
          </w:tcPr>
          <w:p>
            <w:pPr>
              <w:widowControl/>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vAlign w:val="center"/>
          </w:tcPr>
          <w:p>
            <w:pPr>
              <w:spacing w:line="420" w:lineRule="exact"/>
              <w:ind w:firstLine="316" w:firstLineChars="150"/>
              <w:jc w:val="center"/>
              <w:rPr>
                <w:rFonts w:ascii="宋体" w:hAnsi="宋体"/>
                <w:b/>
                <w:szCs w:val="21"/>
              </w:rPr>
            </w:pPr>
            <w:r>
              <w:rPr>
                <w:rFonts w:hint="eastAsia" w:ascii="宋体" w:hAnsi="宋体"/>
                <w:b/>
                <w:szCs w:val="21"/>
                <w:u w:val="single"/>
              </w:rPr>
              <w:t xml:space="preserve">客运  </w:t>
            </w:r>
            <w:r>
              <w:rPr>
                <w:rFonts w:hint="eastAsia" w:ascii="宋体" w:hAnsi="宋体"/>
                <w:b/>
                <w:szCs w:val="21"/>
              </w:rPr>
              <w:t>电梯</w:t>
            </w:r>
          </w:p>
          <w:p>
            <w:pPr>
              <w:spacing w:line="420" w:lineRule="exact"/>
              <w:ind w:firstLine="316" w:firstLineChars="150"/>
              <w:jc w:val="center"/>
              <w:rPr>
                <w:rFonts w:ascii="宋体" w:hAnsi="宋体"/>
                <w:b/>
                <w:szCs w:val="21"/>
              </w:rPr>
            </w:pPr>
            <w:r>
              <w:rPr>
                <w:rFonts w:hint="eastAsia" w:ascii="宋体" w:hAnsi="宋体"/>
                <w:b/>
                <w:szCs w:val="21"/>
              </w:rPr>
              <w:t>（有机房）</w:t>
            </w:r>
          </w:p>
        </w:tc>
        <w:tc>
          <w:tcPr>
            <w:tcW w:w="1620" w:type="dxa"/>
            <w:vAlign w:val="center"/>
          </w:tcPr>
          <w:p>
            <w:pPr>
              <w:spacing w:line="420" w:lineRule="exact"/>
              <w:jc w:val="center"/>
              <w:rPr>
                <w:rFonts w:ascii="宋体" w:hAnsi="宋体"/>
                <w:b/>
                <w:szCs w:val="21"/>
              </w:rPr>
            </w:pPr>
            <w:r>
              <w:rPr>
                <w:rFonts w:hint="eastAsia" w:ascii="宋体" w:hAnsi="宋体"/>
                <w:b/>
                <w:szCs w:val="21"/>
              </w:rPr>
              <w:t>FHSB1600/1.75</w:t>
            </w:r>
          </w:p>
        </w:tc>
        <w:tc>
          <w:tcPr>
            <w:tcW w:w="1260" w:type="dxa"/>
            <w:vAlign w:val="center"/>
          </w:tcPr>
          <w:p>
            <w:pPr>
              <w:spacing w:line="420" w:lineRule="exact"/>
              <w:jc w:val="center"/>
              <w:rPr>
                <w:rFonts w:ascii="宋体" w:hAnsi="宋体"/>
                <w:b/>
                <w:szCs w:val="21"/>
              </w:rPr>
            </w:pPr>
            <w:r>
              <w:rPr>
                <w:rFonts w:hint="eastAsia" w:ascii="宋体" w:hAnsi="宋体"/>
                <w:b/>
                <w:color w:val="FF0000"/>
                <w:szCs w:val="21"/>
              </w:rPr>
              <w:t>1</w:t>
            </w:r>
          </w:p>
        </w:tc>
        <w:tc>
          <w:tcPr>
            <w:tcW w:w="1080" w:type="dxa"/>
            <w:vAlign w:val="center"/>
          </w:tcPr>
          <w:p>
            <w:pPr>
              <w:spacing w:line="420" w:lineRule="exact"/>
              <w:jc w:val="center"/>
              <w:rPr>
                <w:rFonts w:ascii="宋体" w:hAnsi="宋体"/>
                <w:b/>
                <w:szCs w:val="21"/>
              </w:rPr>
            </w:pPr>
            <w:r>
              <w:rPr>
                <w:rFonts w:hint="eastAsia" w:ascii="宋体" w:hAnsi="宋体"/>
                <w:b/>
                <w:szCs w:val="21"/>
                <w:u w:val="single"/>
              </w:rPr>
              <w:t xml:space="preserve"> 18 </w:t>
            </w:r>
            <w:r>
              <w:rPr>
                <w:rFonts w:hint="eastAsia" w:ascii="宋体" w:hAnsi="宋体"/>
                <w:b/>
                <w:szCs w:val="21"/>
              </w:rPr>
              <w:t>层</w:t>
            </w:r>
            <w:r>
              <w:rPr>
                <w:rFonts w:hint="eastAsia" w:ascii="宋体" w:hAnsi="宋体"/>
                <w:b/>
                <w:szCs w:val="21"/>
                <w:u w:val="single"/>
              </w:rPr>
              <w:t xml:space="preserve">   </w:t>
            </w:r>
            <w:r>
              <w:rPr>
                <w:rFonts w:hint="eastAsia" w:ascii="宋体" w:hAnsi="宋体"/>
                <w:b/>
                <w:szCs w:val="21"/>
              </w:rPr>
              <w:t xml:space="preserve"> 18站</w:t>
            </w:r>
          </w:p>
        </w:tc>
        <w:tc>
          <w:tcPr>
            <w:tcW w:w="2160" w:type="dxa"/>
            <w:vAlign w:val="center"/>
          </w:tcPr>
          <w:p>
            <w:pPr>
              <w:spacing w:line="420" w:lineRule="exact"/>
              <w:jc w:val="center"/>
              <w:rPr>
                <w:rFonts w:ascii="宋体" w:hAnsi="宋体"/>
                <w:b/>
                <w:szCs w:val="21"/>
              </w:rPr>
            </w:pPr>
            <w:r>
              <w:rPr>
                <w:rFonts w:hint="eastAsia" w:ascii="宋体" w:hAnsi="宋体"/>
                <w:b/>
                <w:szCs w:val="21"/>
              </w:rPr>
              <w:t>射洪市太和街道美丰大道239号</w:t>
            </w:r>
          </w:p>
        </w:tc>
        <w:tc>
          <w:tcPr>
            <w:tcW w:w="1260" w:type="dxa"/>
            <w:vAlign w:val="center"/>
          </w:tcPr>
          <w:p>
            <w:pPr>
              <w:spacing w:line="420" w:lineRule="exact"/>
              <w:jc w:val="center"/>
              <w:rPr>
                <w:rFonts w:ascii="宋体" w:hAnsi="宋体"/>
                <w:b/>
                <w:szCs w:val="21"/>
              </w:rPr>
            </w:pPr>
            <w:r>
              <w:rPr>
                <w:rFonts w:hint="eastAsia" w:ascii="宋体" w:hAnsi="宋体"/>
                <w:b/>
                <w:szCs w:val="21"/>
              </w:rPr>
              <w:t>2017年</w:t>
            </w:r>
          </w:p>
        </w:tc>
        <w:tc>
          <w:tcPr>
            <w:tcW w:w="1065" w:type="dxa"/>
          </w:tcPr>
          <w:p>
            <w:pPr>
              <w:widowControl/>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vAlign w:val="center"/>
          </w:tcPr>
          <w:p>
            <w:pPr>
              <w:spacing w:line="420" w:lineRule="exact"/>
              <w:ind w:firstLine="316" w:firstLineChars="150"/>
              <w:jc w:val="center"/>
              <w:rPr>
                <w:rFonts w:ascii="宋体" w:hAnsi="宋体"/>
                <w:b/>
                <w:color w:val="FF0000"/>
                <w:szCs w:val="21"/>
              </w:rPr>
            </w:pPr>
            <w:r>
              <w:rPr>
                <w:rFonts w:hint="eastAsia" w:ascii="宋体" w:hAnsi="宋体"/>
                <w:b/>
                <w:color w:val="FF0000"/>
                <w:szCs w:val="21"/>
                <w:u w:val="single"/>
              </w:rPr>
              <w:t xml:space="preserve">客运  </w:t>
            </w:r>
            <w:r>
              <w:rPr>
                <w:rFonts w:hint="eastAsia" w:ascii="宋体" w:hAnsi="宋体"/>
                <w:b/>
                <w:color w:val="FF0000"/>
                <w:szCs w:val="21"/>
              </w:rPr>
              <w:t>电梯</w:t>
            </w:r>
          </w:p>
          <w:p>
            <w:pPr>
              <w:spacing w:line="420" w:lineRule="exact"/>
              <w:ind w:firstLine="316" w:firstLineChars="150"/>
              <w:jc w:val="center"/>
              <w:rPr>
                <w:rFonts w:hint="eastAsia" w:ascii="宋体" w:hAnsi="宋体" w:eastAsia="宋体" w:cs="Times New Roman"/>
                <w:b/>
                <w:color w:val="FF0000"/>
                <w:kern w:val="2"/>
                <w:sz w:val="21"/>
                <w:szCs w:val="21"/>
                <w:lang w:val="en-US" w:eastAsia="zh-CN" w:bidi="ar-SA"/>
              </w:rPr>
            </w:pPr>
            <w:r>
              <w:rPr>
                <w:rFonts w:hint="eastAsia" w:ascii="宋体" w:hAnsi="宋体"/>
                <w:b/>
                <w:color w:val="FF0000"/>
                <w:szCs w:val="21"/>
              </w:rPr>
              <w:t>（有机房）</w:t>
            </w:r>
          </w:p>
        </w:tc>
        <w:tc>
          <w:tcPr>
            <w:tcW w:w="1620" w:type="dxa"/>
            <w:vAlign w:val="center"/>
          </w:tcPr>
          <w:p>
            <w:pPr>
              <w:spacing w:line="420" w:lineRule="exact"/>
              <w:jc w:val="center"/>
              <w:rPr>
                <w:rFonts w:hint="eastAsia" w:ascii="宋体" w:hAnsi="宋体" w:eastAsia="宋体" w:cs="Times New Roman"/>
                <w:b/>
                <w:color w:val="FF0000"/>
                <w:kern w:val="2"/>
                <w:sz w:val="21"/>
                <w:szCs w:val="21"/>
                <w:lang w:val="en-US" w:eastAsia="zh-CN" w:bidi="ar-SA"/>
              </w:rPr>
            </w:pPr>
            <w:r>
              <w:rPr>
                <w:rFonts w:hint="eastAsia" w:ascii="宋体" w:hAnsi="宋体"/>
                <w:b/>
                <w:color w:val="FF0000"/>
                <w:szCs w:val="21"/>
              </w:rPr>
              <w:t>FHSB1600/1.75</w:t>
            </w:r>
          </w:p>
        </w:tc>
        <w:tc>
          <w:tcPr>
            <w:tcW w:w="1260" w:type="dxa"/>
            <w:vAlign w:val="center"/>
          </w:tcPr>
          <w:p>
            <w:pPr>
              <w:spacing w:line="420" w:lineRule="exact"/>
              <w:jc w:val="center"/>
              <w:rPr>
                <w:rFonts w:hint="default" w:ascii="宋体" w:hAnsi="宋体" w:eastAsia="宋体" w:cs="Times New Roman"/>
                <w:b/>
                <w:color w:val="FF0000"/>
                <w:kern w:val="2"/>
                <w:sz w:val="21"/>
                <w:szCs w:val="21"/>
                <w:lang w:val="en-US" w:eastAsia="zh-CN" w:bidi="ar-SA"/>
              </w:rPr>
            </w:pPr>
            <w:r>
              <w:rPr>
                <w:rFonts w:hint="eastAsia" w:ascii="宋体" w:hAnsi="宋体" w:cs="Times New Roman"/>
                <w:b/>
                <w:color w:val="FF0000"/>
                <w:kern w:val="2"/>
                <w:sz w:val="21"/>
                <w:szCs w:val="21"/>
                <w:lang w:val="en-US" w:eastAsia="zh-CN" w:bidi="ar-SA"/>
              </w:rPr>
              <w:t>4</w:t>
            </w:r>
          </w:p>
        </w:tc>
        <w:tc>
          <w:tcPr>
            <w:tcW w:w="1080" w:type="dxa"/>
            <w:vAlign w:val="center"/>
          </w:tcPr>
          <w:p>
            <w:pPr>
              <w:spacing w:line="420" w:lineRule="exact"/>
              <w:jc w:val="center"/>
              <w:rPr>
                <w:rFonts w:hint="eastAsia" w:ascii="宋体" w:hAnsi="宋体" w:eastAsia="宋体" w:cs="Times New Roman"/>
                <w:b/>
                <w:color w:val="FF0000"/>
                <w:kern w:val="2"/>
                <w:sz w:val="21"/>
                <w:szCs w:val="21"/>
                <w:lang w:val="en-US" w:eastAsia="zh-CN" w:bidi="ar-SA"/>
              </w:rPr>
            </w:pPr>
            <w:r>
              <w:rPr>
                <w:rFonts w:hint="eastAsia" w:ascii="宋体" w:hAnsi="宋体"/>
                <w:b/>
                <w:color w:val="FF0000"/>
                <w:szCs w:val="21"/>
                <w:u w:val="single"/>
              </w:rPr>
              <w:t xml:space="preserve"> 1</w:t>
            </w:r>
            <w:r>
              <w:rPr>
                <w:rFonts w:hint="eastAsia" w:ascii="宋体" w:hAnsi="宋体"/>
                <w:b/>
                <w:color w:val="FF0000"/>
                <w:szCs w:val="21"/>
                <w:u w:val="single"/>
                <w:lang w:val="en-US" w:eastAsia="zh-CN"/>
              </w:rPr>
              <w:t>6</w:t>
            </w:r>
            <w:r>
              <w:rPr>
                <w:rFonts w:hint="eastAsia" w:ascii="宋体" w:hAnsi="宋体"/>
                <w:b/>
                <w:color w:val="FF0000"/>
                <w:szCs w:val="21"/>
              </w:rPr>
              <w:t>层</w:t>
            </w:r>
            <w:r>
              <w:rPr>
                <w:rFonts w:hint="eastAsia" w:ascii="宋体" w:hAnsi="宋体"/>
                <w:b/>
                <w:color w:val="FF0000"/>
                <w:szCs w:val="21"/>
                <w:u w:val="single"/>
              </w:rPr>
              <w:t xml:space="preserve">   </w:t>
            </w:r>
            <w:r>
              <w:rPr>
                <w:rFonts w:hint="eastAsia" w:ascii="宋体" w:hAnsi="宋体"/>
                <w:b/>
                <w:color w:val="FF0000"/>
                <w:szCs w:val="21"/>
              </w:rPr>
              <w:t xml:space="preserve"> 1</w:t>
            </w:r>
            <w:r>
              <w:rPr>
                <w:rFonts w:hint="eastAsia" w:ascii="宋体" w:hAnsi="宋体"/>
                <w:b/>
                <w:color w:val="FF0000"/>
                <w:szCs w:val="21"/>
                <w:lang w:val="en-US" w:eastAsia="zh-CN"/>
              </w:rPr>
              <w:t>6</w:t>
            </w:r>
            <w:r>
              <w:rPr>
                <w:rFonts w:hint="eastAsia" w:ascii="宋体" w:hAnsi="宋体"/>
                <w:b/>
                <w:color w:val="FF0000"/>
                <w:szCs w:val="21"/>
              </w:rPr>
              <w:t>站</w:t>
            </w:r>
          </w:p>
        </w:tc>
        <w:tc>
          <w:tcPr>
            <w:tcW w:w="2160" w:type="dxa"/>
            <w:vAlign w:val="center"/>
          </w:tcPr>
          <w:p>
            <w:pPr>
              <w:spacing w:line="420" w:lineRule="exact"/>
              <w:jc w:val="center"/>
              <w:rPr>
                <w:rFonts w:hint="eastAsia" w:ascii="宋体" w:hAnsi="宋体" w:eastAsia="宋体" w:cs="Times New Roman"/>
                <w:b/>
                <w:color w:val="FF0000"/>
                <w:kern w:val="2"/>
                <w:sz w:val="21"/>
                <w:szCs w:val="21"/>
                <w:lang w:val="en-US" w:eastAsia="zh-CN" w:bidi="ar-SA"/>
              </w:rPr>
            </w:pPr>
            <w:r>
              <w:rPr>
                <w:rFonts w:hint="eastAsia" w:ascii="宋体" w:hAnsi="宋体"/>
                <w:b/>
                <w:color w:val="FF0000"/>
                <w:szCs w:val="21"/>
              </w:rPr>
              <w:t>射洪市太和街道美丰大道239号</w:t>
            </w:r>
          </w:p>
        </w:tc>
        <w:tc>
          <w:tcPr>
            <w:tcW w:w="1260" w:type="dxa"/>
            <w:vAlign w:val="center"/>
          </w:tcPr>
          <w:p>
            <w:pPr>
              <w:spacing w:line="420" w:lineRule="exact"/>
              <w:jc w:val="center"/>
              <w:rPr>
                <w:rFonts w:hint="eastAsia" w:ascii="宋体" w:hAnsi="宋体" w:eastAsia="宋体" w:cs="Times New Roman"/>
                <w:b/>
                <w:color w:val="FF0000"/>
                <w:kern w:val="2"/>
                <w:sz w:val="21"/>
                <w:szCs w:val="21"/>
                <w:lang w:val="en-US" w:eastAsia="zh-CN" w:bidi="ar-SA"/>
              </w:rPr>
            </w:pPr>
            <w:r>
              <w:rPr>
                <w:rFonts w:hint="eastAsia" w:ascii="宋体" w:hAnsi="宋体"/>
                <w:b/>
                <w:color w:val="FF0000"/>
                <w:szCs w:val="21"/>
              </w:rPr>
              <w:t>2017年</w:t>
            </w:r>
          </w:p>
        </w:tc>
        <w:tc>
          <w:tcPr>
            <w:tcW w:w="1065" w:type="dxa"/>
          </w:tcPr>
          <w:p>
            <w:pPr>
              <w:widowControl/>
              <w:jc w:val="left"/>
              <w:rPr>
                <w:rFonts w:ascii="宋体" w:hAnsi="宋体"/>
                <w:b/>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620" w:type="dxa"/>
            <w:vAlign w:val="center"/>
          </w:tcPr>
          <w:p>
            <w:pPr>
              <w:spacing w:line="420" w:lineRule="exact"/>
              <w:ind w:firstLine="316" w:firstLineChars="150"/>
              <w:jc w:val="center"/>
              <w:rPr>
                <w:rFonts w:ascii="宋体" w:hAnsi="宋体"/>
                <w:b/>
                <w:szCs w:val="21"/>
              </w:rPr>
            </w:pPr>
            <w:r>
              <w:rPr>
                <w:rFonts w:hint="eastAsia" w:ascii="宋体" w:hAnsi="宋体"/>
                <w:b/>
                <w:szCs w:val="21"/>
              </w:rPr>
              <w:t>自动扶梯电梯</w:t>
            </w:r>
          </w:p>
          <w:p>
            <w:pPr>
              <w:spacing w:line="420" w:lineRule="exact"/>
              <w:rPr>
                <w:rFonts w:ascii="宋体" w:hAnsi="宋体"/>
                <w:b/>
                <w:szCs w:val="21"/>
              </w:rPr>
            </w:pPr>
          </w:p>
        </w:tc>
        <w:tc>
          <w:tcPr>
            <w:tcW w:w="1620" w:type="dxa"/>
            <w:vAlign w:val="center"/>
          </w:tcPr>
          <w:p>
            <w:pPr>
              <w:widowControl/>
              <w:jc w:val="center"/>
              <w:rPr>
                <w:rFonts w:ascii="宋体" w:hAnsi="宋体"/>
                <w:b/>
                <w:szCs w:val="21"/>
              </w:rPr>
            </w:pPr>
            <w:r>
              <w:rPr>
                <w:rFonts w:hint="eastAsia" w:ascii="宋体" w:hAnsi="宋体"/>
                <w:b/>
                <w:szCs w:val="21"/>
              </w:rPr>
              <w:t>FHE</w:t>
            </w:r>
          </w:p>
        </w:tc>
        <w:tc>
          <w:tcPr>
            <w:tcW w:w="1260" w:type="dxa"/>
            <w:vAlign w:val="center"/>
          </w:tcPr>
          <w:p>
            <w:pPr>
              <w:widowControl/>
              <w:jc w:val="center"/>
              <w:rPr>
                <w:rFonts w:ascii="宋体" w:hAnsi="宋体"/>
                <w:b/>
                <w:szCs w:val="21"/>
              </w:rPr>
            </w:pPr>
            <w:r>
              <w:rPr>
                <w:rFonts w:hint="eastAsia" w:ascii="宋体" w:hAnsi="宋体"/>
                <w:b/>
                <w:szCs w:val="21"/>
              </w:rPr>
              <w:t>6</w:t>
            </w:r>
          </w:p>
        </w:tc>
        <w:tc>
          <w:tcPr>
            <w:tcW w:w="1080" w:type="dxa"/>
            <w:vAlign w:val="center"/>
          </w:tcPr>
          <w:p>
            <w:pPr>
              <w:widowControl/>
              <w:jc w:val="center"/>
              <w:rPr>
                <w:rFonts w:ascii="宋体" w:hAnsi="宋体"/>
                <w:b/>
                <w:szCs w:val="21"/>
              </w:rPr>
            </w:pPr>
          </w:p>
        </w:tc>
        <w:tc>
          <w:tcPr>
            <w:tcW w:w="2160" w:type="dxa"/>
            <w:vAlign w:val="center"/>
          </w:tcPr>
          <w:p>
            <w:pPr>
              <w:spacing w:line="420" w:lineRule="exact"/>
              <w:jc w:val="center"/>
              <w:rPr>
                <w:rFonts w:ascii="宋体" w:hAnsi="宋体"/>
                <w:b/>
                <w:szCs w:val="21"/>
              </w:rPr>
            </w:pPr>
            <w:r>
              <w:rPr>
                <w:rFonts w:hint="eastAsia" w:ascii="宋体" w:hAnsi="宋体"/>
                <w:b/>
                <w:szCs w:val="21"/>
              </w:rPr>
              <w:t>射洪市太和街道美丰大道239号</w:t>
            </w:r>
          </w:p>
        </w:tc>
        <w:tc>
          <w:tcPr>
            <w:tcW w:w="1260" w:type="dxa"/>
            <w:vAlign w:val="center"/>
          </w:tcPr>
          <w:p>
            <w:pPr>
              <w:widowControl/>
              <w:jc w:val="center"/>
              <w:rPr>
                <w:rFonts w:ascii="宋体" w:hAnsi="宋体"/>
                <w:b/>
                <w:szCs w:val="21"/>
              </w:rPr>
            </w:pPr>
            <w:r>
              <w:rPr>
                <w:rFonts w:hint="eastAsia" w:ascii="宋体" w:hAnsi="宋体"/>
                <w:b/>
                <w:szCs w:val="21"/>
              </w:rPr>
              <w:t>2019年</w:t>
            </w:r>
          </w:p>
        </w:tc>
        <w:tc>
          <w:tcPr>
            <w:tcW w:w="1065" w:type="dxa"/>
          </w:tcPr>
          <w:p>
            <w:pPr>
              <w:widowControl/>
              <w:jc w:val="left"/>
              <w:rPr>
                <w:rFonts w:ascii="宋体" w:hAnsi="宋体"/>
                <w:b/>
                <w:szCs w:val="21"/>
              </w:rPr>
            </w:pPr>
          </w:p>
        </w:tc>
      </w:tr>
    </w:tbl>
    <w:p>
      <w:pPr>
        <w:tabs>
          <w:tab w:val="left" w:pos="720"/>
        </w:tabs>
        <w:spacing w:before="156" w:beforeLines="50" w:after="156" w:afterLines="50" w:line="240" w:lineRule="exact"/>
        <w:rPr>
          <w:rFonts w:ascii="宋体" w:hAnsi="宋体"/>
          <w:b/>
          <w:szCs w:val="21"/>
        </w:rPr>
      </w:pPr>
      <w:bookmarkStart w:id="0" w:name="_Toc158087753"/>
      <w:bookmarkStart w:id="1" w:name="_Toc190852426"/>
      <w:bookmarkStart w:id="2" w:name="_Toc158089333"/>
      <w:bookmarkStart w:id="3" w:name="_Toc158088772"/>
      <w:bookmarkStart w:id="4" w:name="_Toc158089186"/>
      <w:bookmarkStart w:id="5" w:name="_Toc158088268"/>
      <w:bookmarkStart w:id="6" w:name="_Toc158088423"/>
      <w:bookmarkStart w:id="7" w:name="_Toc158089136"/>
    </w:p>
    <w:p>
      <w:pPr>
        <w:tabs>
          <w:tab w:val="left" w:pos="720"/>
        </w:tabs>
        <w:spacing w:before="156" w:beforeLines="50" w:after="156" w:afterLines="50" w:line="240" w:lineRule="exact"/>
        <w:rPr>
          <w:rFonts w:ascii="宋体" w:hAnsi="宋体"/>
          <w:b/>
          <w:szCs w:val="21"/>
        </w:rPr>
      </w:pPr>
    </w:p>
    <w:p>
      <w:pPr>
        <w:spacing w:line="420" w:lineRule="exact"/>
        <w:rPr>
          <w:rFonts w:hint="eastAsia" w:ascii="仿宋" w:hAnsi="仿宋" w:eastAsia="仿宋" w:cs="仿宋"/>
          <w:b/>
          <w:bCs w:val="0"/>
          <w:sz w:val="28"/>
          <w:szCs w:val="28"/>
        </w:rPr>
      </w:pPr>
      <w:r>
        <w:rPr>
          <w:rFonts w:hint="eastAsia" w:ascii="仿宋" w:hAnsi="仿宋" w:eastAsia="仿宋" w:cs="仿宋"/>
          <w:b/>
          <w:bCs w:val="0"/>
          <w:sz w:val="28"/>
          <w:szCs w:val="28"/>
        </w:rPr>
        <w:t>三、招标说明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10"/>
          <w:sz w:val="28"/>
          <w:szCs w:val="28"/>
        </w:rPr>
      </w:pPr>
      <w:r>
        <w:rPr>
          <w:rFonts w:hint="eastAsia" w:ascii="仿宋" w:hAnsi="仿宋" w:eastAsia="仿宋" w:cs="仿宋"/>
          <w:sz w:val="28"/>
          <w:szCs w:val="28"/>
        </w:rPr>
        <w:t>1</w:t>
      </w:r>
      <w:r>
        <w:rPr>
          <w:rFonts w:hint="eastAsia" w:ascii="仿宋" w:hAnsi="仿宋" w:eastAsia="仿宋" w:cs="仿宋"/>
          <w:kern w:val="10"/>
          <w:sz w:val="28"/>
          <w:szCs w:val="28"/>
        </w:rPr>
        <w:t>、招标方式：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kern w:val="10"/>
          <w:sz w:val="28"/>
          <w:szCs w:val="28"/>
          <w:lang w:val="en-US" w:eastAsia="zh-CN"/>
        </w:rPr>
      </w:pPr>
      <w:r>
        <w:rPr>
          <w:rFonts w:hint="eastAsia" w:ascii="仿宋" w:hAnsi="仿宋" w:eastAsia="仿宋" w:cs="仿宋"/>
          <w:kern w:val="10"/>
          <w:sz w:val="28"/>
          <w:szCs w:val="28"/>
          <w:lang w:val="en-US" w:eastAsia="zh-CN"/>
        </w:rPr>
        <w:t>本次招标采用综合评分法</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10"/>
          <w:sz w:val="28"/>
          <w:szCs w:val="28"/>
        </w:rPr>
      </w:pPr>
      <w:r>
        <w:rPr>
          <w:rFonts w:hint="eastAsia" w:ascii="仿宋" w:hAnsi="仿宋" w:eastAsia="仿宋" w:cs="仿宋"/>
          <w:kern w:val="10"/>
          <w:sz w:val="28"/>
          <w:szCs w:val="28"/>
          <w:lang w:val="en-US" w:eastAsia="zh-CN"/>
        </w:rPr>
        <w:t>2、</w:t>
      </w:r>
      <w:r>
        <w:rPr>
          <w:rFonts w:hint="eastAsia" w:ascii="仿宋" w:hAnsi="仿宋" w:eastAsia="仿宋" w:cs="仿宋"/>
          <w:kern w:val="10"/>
          <w:sz w:val="28"/>
          <w:szCs w:val="28"/>
        </w:rPr>
        <w:t>招标时间及地点：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color w:val="FF0000"/>
          <w:kern w:val="10"/>
          <w:sz w:val="28"/>
          <w:szCs w:val="28"/>
          <w:lang w:val="en-US" w:eastAsia="zh-CN"/>
        </w:rPr>
      </w:pPr>
      <w:r>
        <w:rPr>
          <w:rFonts w:hint="eastAsia" w:ascii="仿宋" w:hAnsi="仿宋" w:eastAsia="仿宋" w:cs="仿宋"/>
          <w:color w:val="FF0000"/>
          <w:kern w:val="10"/>
          <w:sz w:val="28"/>
          <w:szCs w:val="28"/>
          <w:lang w:val="en-US" w:eastAsia="zh-CN"/>
        </w:rPr>
        <w:t>具体时间由采招办另行通知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10"/>
          <w:sz w:val="28"/>
          <w:szCs w:val="28"/>
        </w:rPr>
      </w:pPr>
      <w:r>
        <w:rPr>
          <w:rFonts w:hint="eastAsia" w:ascii="仿宋" w:hAnsi="仿宋" w:eastAsia="仿宋" w:cs="仿宋"/>
          <w:kern w:val="10"/>
          <w:sz w:val="28"/>
          <w:szCs w:val="28"/>
        </w:rPr>
        <w:t>3、付款方式：</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10"/>
          <w:sz w:val="28"/>
          <w:szCs w:val="28"/>
        </w:rPr>
      </w:pPr>
      <w:r>
        <w:rPr>
          <w:rFonts w:hint="eastAsia" w:ascii="仿宋" w:hAnsi="仿宋" w:eastAsia="仿宋" w:cs="仿宋"/>
          <w:kern w:val="10"/>
          <w:sz w:val="28"/>
          <w:szCs w:val="28"/>
        </w:rPr>
        <w:t>合同履行后，以六个月为一个承包段，每六个月维修保养到期后，中标方开据增值税专用发票，招标方在收到发票后</w:t>
      </w:r>
      <w:r>
        <w:rPr>
          <w:rFonts w:hint="eastAsia" w:ascii="仿宋" w:hAnsi="仿宋" w:eastAsia="仿宋" w:cs="仿宋"/>
          <w:kern w:val="10"/>
          <w:sz w:val="28"/>
          <w:szCs w:val="28"/>
          <w:lang w:val="en-US" w:eastAsia="zh-CN"/>
        </w:rPr>
        <w:t>一个月内</w:t>
      </w:r>
      <w:r>
        <w:rPr>
          <w:rFonts w:hint="eastAsia" w:ascii="仿宋" w:hAnsi="仿宋" w:eastAsia="仿宋" w:cs="仿宋"/>
          <w:kern w:val="10"/>
          <w:sz w:val="28"/>
          <w:szCs w:val="28"/>
        </w:rPr>
        <w:t>付款。</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10"/>
          <w:sz w:val="28"/>
          <w:szCs w:val="28"/>
        </w:rPr>
      </w:pPr>
      <w:r>
        <w:rPr>
          <w:rFonts w:hint="eastAsia" w:ascii="仿宋" w:hAnsi="仿宋" w:eastAsia="仿宋" w:cs="仿宋"/>
          <w:kern w:val="10"/>
          <w:sz w:val="28"/>
          <w:szCs w:val="28"/>
        </w:rPr>
        <w:t>期限：1 年，合同每年一签。</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10"/>
          <w:sz w:val="28"/>
          <w:szCs w:val="28"/>
        </w:rPr>
      </w:pPr>
      <w:r>
        <w:rPr>
          <w:rFonts w:hint="eastAsia" w:ascii="仿宋" w:hAnsi="仿宋" w:eastAsia="仿宋" w:cs="仿宋"/>
          <w:kern w:val="10"/>
          <w:sz w:val="28"/>
          <w:szCs w:val="28"/>
          <w:lang w:val="en-US" w:eastAsia="zh-CN"/>
        </w:rPr>
        <w:t>控制价：59300元/年</w:t>
      </w:r>
    </w:p>
    <w:p>
      <w:pPr>
        <w:spacing w:line="420" w:lineRule="exact"/>
        <w:rPr>
          <w:rFonts w:hint="eastAsia" w:ascii="仿宋" w:hAnsi="仿宋" w:eastAsia="仿宋" w:cs="仿宋"/>
          <w:b/>
          <w:bCs w:val="0"/>
          <w:sz w:val="28"/>
          <w:szCs w:val="28"/>
        </w:rPr>
      </w:pPr>
      <w:r>
        <w:rPr>
          <w:rFonts w:hint="eastAsia" w:ascii="仿宋" w:hAnsi="仿宋" w:eastAsia="仿宋" w:cs="仿宋"/>
          <w:b/>
          <w:bCs w:val="0"/>
          <w:sz w:val="28"/>
          <w:szCs w:val="28"/>
        </w:rPr>
        <w:t>四、</w:t>
      </w:r>
      <w:r>
        <w:rPr>
          <w:rFonts w:hint="eastAsia" w:ascii="仿宋" w:hAnsi="仿宋" w:eastAsia="仿宋" w:cs="仿宋"/>
          <w:b/>
          <w:bCs w:val="0"/>
          <w:sz w:val="28"/>
          <w:szCs w:val="28"/>
          <w:lang w:val="en-US" w:eastAsia="zh-CN"/>
        </w:rPr>
        <w:t>服务及商务</w:t>
      </w:r>
      <w:r>
        <w:rPr>
          <w:rFonts w:hint="eastAsia" w:ascii="仿宋" w:hAnsi="仿宋" w:eastAsia="仿宋" w:cs="仿宋"/>
          <w:b/>
          <w:bCs w:val="0"/>
          <w:sz w:val="28"/>
          <w:szCs w:val="28"/>
        </w:rPr>
        <w:t>要求</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1、保证所有电梯的正常运行。</w:t>
      </w:r>
    </w:p>
    <w:p>
      <w:pPr>
        <w:widowControl/>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color w:val="FF0000"/>
          <w:kern w:val="0"/>
          <w:sz w:val="28"/>
          <w:szCs w:val="28"/>
        </w:rPr>
        <w:t>保证和负责招标方通过年检,</w:t>
      </w:r>
      <w:r>
        <w:rPr>
          <w:rFonts w:hint="eastAsia" w:ascii="仿宋" w:hAnsi="仿宋" w:eastAsia="仿宋" w:cs="仿宋"/>
          <w:color w:val="FF0000"/>
          <w:sz w:val="28"/>
          <w:szCs w:val="28"/>
        </w:rPr>
        <w:t>电梯维保期内中标方负责电梯年检事宜，招标方配合提供相关资料实施年检。</w:t>
      </w:r>
      <w:r>
        <w:rPr>
          <w:rFonts w:hint="eastAsia" w:ascii="仿宋" w:hAnsi="仿宋" w:eastAsia="仿宋" w:cs="仿宋"/>
          <w:kern w:val="0"/>
          <w:sz w:val="28"/>
          <w:szCs w:val="28"/>
        </w:rPr>
        <w:t>满足《电梯监督检验和定期检验规则-曳引与强制驱动电梯》（TSG T5001-2009）检验要求。</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kern w:val="10"/>
          <w:sz w:val="28"/>
          <w:szCs w:val="28"/>
        </w:rPr>
        <w:t>投标方</w:t>
      </w:r>
      <w:r>
        <w:rPr>
          <w:rFonts w:hint="eastAsia" w:ascii="仿宋" w:hAnsi="仿宋" w:eastAsia="仿宋" w:cs="仿宋"/>
          <w:sz w:val="28"/>
          <w:szCs w:val="28"/>
        </w:rPr>
        <w:t>应在招标之前到实地察看，作为本次招标的依据，以进行合理报价。不到实地进行察看，视同认可上述情况及电梯情况良好。</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4、服务时应严格按照《电梯维修规范》（GB/T 18775-2002）执行。</w:t>
      </w:r>
    </w:p>
    <w:p>
      <w:pPr>
        <w:spacing w:line="4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5、负责对限速器的校验工作，关于限速器的年检应符合《电梯限速器型式试验细则》（TSG T7009-2004）的相关要求。</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6、若有各种电梯相关新生效规范的，供应商亦应满足新规范的要求。</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7、在日常维护保养期届满时，须经法定定期检验并无因维护保养原因的不合格项目存在.</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8、电梯维修保养服务方式：</w:t>
      </w:r>
    </w:p>
    <w:p>
      <w:pPr>
        <w:spacing w:line="42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8.1</w:t>
      </w:r>
      <w:r>
        <w:rPr>
          <w:rFonts w:hint="eastAsia" w:ascii="仿宋" w:hAnsi="仿宋" w:eastAsia="仿宋" w:cs="仿宋"/>
          <w:sz w:val="28"/>
          <w:szCs w:val="28"/>
        </w:rPr>
        <w:t>、每个月一次，根据国家有关的技术规范和乙方的工艺要求，对电梯设备进行保养，具体内容有：</w:t>
      </w:r>
    </w:p>
    <w:p>
      <w:pPr>
        <w:spacing w:line="42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8.1.1、</w:t>
      </w:r>
      <w:r>
        <w:rPr>
          <w:rFonts w:hint="eastAsia" w:ascii="仿宋" w:hAnsi="仿宋" w:eastAsia="仿宋" w:cs="仿宋"/>
          <w:sz w:val="28"/>
          <w:szCs w:val="28"/>
        </w:rPr>
        <w:t>电梯轿厢、机房、井道各部位、各部件的检查、润滑和清洁。</w:t>
      </w:r>
    </w:p>
    <w:p>
      <w:pPr>
        <w:spacing w:line="42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8.1.2、</w:t>
      </w:r>
      <w:r>
        <w:rPr>
          <w:rFonts w:hint="eastAsia" w:ascii="仿宋" w:hAnsi="仿宋" w:eastAsia="仿宋" w:cs="仿宋"/>
          <w:sz w:val="28"/>
          <w:szCs w:val="28"/>
        </w:rPr>
        <w:t>电梯曳引钢丝绳、补偿钢丝绳、补偿链、限速器钢丝绳的清洁和张力调整。</w:t>
      </w:r>
    </w:p>
    <w:p>
      <w:pPr>
        <w:spacing w:line="42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8.1.3、</w:t>
      </w:r>
      <w:r>
        <w:rPr>
          <w:rFonts w:hint="eastAsia" w:ascii="仿宋" w:hAnsi="仿宋" w:eastAsia="仿宋" w:cs="仿宋"/>
          <w:sz w:val="28"/>
          <w:szCs w:val="28"/>
        </w:rPr>
        <w:t>自动扶梯上下部机房、安全装置、扶手驱动装置的检查、调整、润滑和清洁。</w:t>
      </w:r>
    </w:p>
    <w:p>
      <w:pPr>
        <w:spacing w:line="420" w:lineRule="exact"/>
        <w:ind w:firstLine="700" w:firstLineChars="250"/>
        <w:rPr>
          <w:rFonts w:hint="eastAsia" w:ascii="仿宋" w:hAnsi="仿宋" w:eastAsia="仿宋" w:cs="仿宋"/>
          <w:b/>
          <w:bCs/>
          <w:sz w:val="28"/>
          <w:szCs w:val="28"/>
        </w:rPr>
      </w:pPr>
      <w:r>
        <w:rPr>
          <w:rFonts w:hint="eastAsia" w:ascii="仿宋" w:hAnsi="仿宋" w:eastAsia="仿宋" w:cs="仿宋"/>
          <w:b w:val="0"/>
          <w:bCs w:val="0"/>
          <w:sz w:val="28"/>
          <w:szCs w:val="28"/>
          <w:lang w:val="en-US" w:eastAsia="zh-CN"/>
        </w:rPr>
        <w:t>8.1.4</w:t>
      </w:r>
      <w:r>
        <w:rPr>
          <w:rFonts w:hint="eastAsia" w:ascii="仿宋" w:hAnsi="仿宋" w:eastAsia="仿宋" w:cs="仿宋"/>
          <w:b w:val="0"/>
          <w:bCs w:val="0"/>
          <w:sz w:val="28"/>
          <w:szCs w:val="28"/>
        </w:rPr>
        <w:t>提供全天候应急处理服务，并在接到甲方紧急报修通知后30分钟内赶到现场</w:t>
      </w:r>
      <w:r>
        <w:rPr>
          <w:rFonts w:hint="eastAsia" w:ascii="仿宋" w:hAnsi="仿宋" w:eastAsia="仿宋" w:cs="仿宋"/>
          <w:b/>
          <w:bCs/>
          <w:sz w:val="28"/>
          <w:szCs w:val="28"/>
        </w:rPr>
        <w:t>。</w:t>
      </w:r>
    </w:p>
    <w:p>
      <w:pPr>
        <w:spacing w:line="42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8.1.5</w:t>
      </w:r>
      <w:r>
        <w:rPr>
          <w:rFonts w:hint="eastAsia" w:ascii="仿宋" w:hAnsi="仿宋" w:eastAsia="仿宋" w:cs="仿宋"/>
          <w:sz w:val="28"/>
          <w:szCs w:val="28"/>
        </w:rPr>
        <w:t>免费调换在服务期因保养不当而损坏的零件。</w:t>
      </w:r>
    </w:p>
    <w:p>
      <w:pPr>
        <w:spacing w:line="42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8.1.6</w:t>
      </w:r>
      <w:r>
        <w:rPr>
          <w:rFonts w:hint="eastAsia" w:ascii="仿宋" w:hAnsi="仿宋" w:eastAsia="仿宋" w:cs="仿宋"/>
          <w:sz w:val="28"/>
          <w:szCs w:val="28"/>
        </w:rPr>
        <w:t>每年进行一次综合性的运行安全和运行质量的检查，并在检测结束时向委托方提交检测报告。</w:t>
      </w:r>
    </w:p>
    <w:p>
      <w:pPr>
        <w:spacing w:line="420" w:lineRule="exact"/>
        <w:ind w:firstLine="700" w:firstLineChars="250"/>
        <w:rPr>
          <w:rFonts w:hint="eastAsia" w:ascii="仿宋" w:hAnsi="仿宋" w:eastAsia="仿宋" w:cs="仿宋"/>
          <w:sz w:val="28"/>
          <w:szCs w:val="28"/>
        </w:rPr>
      </w:pPr>
      <w:r>
        <w:rPr>
          <w:rFonts w:hint="eastAsia" w:ascii="仿宋" w:hAnsi="仿宋" w:eastAsia="仿宋" w:cs="仿宋"/>
          <w:color w:val="FF0000"/>
          <w:sz w:val="28"/>
          <w:szCs w:val="28"/>
          <w:lang w:val="en-US" w:eastAsia="zh-CN"/>
        </w:rPr>
        <w:t>8.1.7</w:t>
      </w:r>
      <w:r>
        <w:rPr>
          <w:rFonts w:hint="eastAsia" w:ascii="仿宋" w:hAnsi="仿宋" w:eastAsia="仿宋" w:cs="仿宋"/>
          <w:color w:val="FF0000"/>
          <w:sz w:val="28"/>
          <w:szCs w:val="28"/>
        </w:rPr>
        <w:t>针对年检所需做125%电梯载重实验所产生的人工及材料费用由中标方负责。</w:t>
      </w:r>
    </w:p>
    <w:p>
      <w:pPr>
        <w:spacing w:line="420" w:lineRule="exact"/>
        <w:ind w:firstLine="700" w:firstLineChars="250"/>
        <w:rPr>
          <w:rFonts w:hint="eastAsia" w:ascii="仿宋" w:hAnsi="仿宋" w:eastAsia="仿宋" w:cs="仿宋"/>
          <w:color w:val="FF0000"/>
          <w:sz w:val="28"/>
          <w:szCs w:val="28"/>
        </w:rPr>
      </w:pPr>
      <w:r>
        <w:rPr>
          <w:rFonts w:hint="eastAsia" w:ascii="仿宋" w:hAnsi="仿宋" w:eastAsia="仿宋" w:cs="仿宋"/>
          <w:color w:val="FF0000"/>
          <w:sz w:val="28"/>
          <w:szCs w:val="28"/>
          <w:lang w:val="en-US" w:eastAsia="zh-CN"/>
        </w:rPr>
        <w:t>8.1.8</w:t>
      </w:r>
      <w:r>
        <w:rPr>
          <w:rFonts w:hint="eastAsia" w:ascii="仿宋" w:hAnsi="仿宋" w:eastAsia="仿宋" w:cs="仿宋"/>
          <w:color w:val="FF0000"/>
          <w:sz w:val="28"/>
          <w:szCs w:val="28"/>
        </w:rPr>
        <w:t>免费更换200元以下配件详情见：（附表6）</w:t>
      </w:r>
    </w:p>
    <w:p>
      <w:pPr>
        <w:spacing w:line="420" w:lineRule="exact"/>
        <w:ind w:firstLine="700" w:firstLineChars="250"/>
        <w:rPr>
          <w:rFonts w:hint="eastAsia" w:ascii="仿宋" w:hAnsi="仿宋" w:eastAsia="仿宋" w:cs="仿宋"/>
          <w:color w:val="FF0000"/>
          <w:sz w:val="28"/>
          <w:szCs w:val="28"/>
        </w:rPr>
      </w:pPr>
      <w:r>
        <w:rPr>
          <w:rFonts w:hint="eastAsia" w:ascii="仿宋" w:hAnsi="仿宋" w:eastAsia="仿宋" w:cs="仿宋"/>
          <w:color w:val="FF0000"/>
          <w:sz w:val="28"/>
          <w:szCs w:val="28"/>
          <w:lang w:val="en-US" w:eastAsia="zh-CN"/>
        </w:rPr>
        <w:t>8.1.9</w:t>
      </w:r>
      <w:r>
        <w:rPr>
          <w:rFonts w:hint="eastAsia" w:ascii="仿宋" w:hAnsi="仿宋" w:eastAsia="仿宋" w:cs="仿宋"/>
          <w:color w:val="FF0000"/>
          <w:sz w:val="28"/>
          <w:szCs w:val="28"/>
        </w:rPr>
        <w:t>更换200元以上配件报价表详情见：（附表7）</w:t>
      </w:r>
    </w:p>
    <w:p>
      <w:pPr>
        <w:spacing w:line="420" w:lineRule="exact"/>
        <w:ind w:firstLine="700" w:firstLineChars="25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9、为电梯购买相关商业险，要求（1、每次事故每梯赔偿限额不低于叁佰万元；2、每人死亡、伤残赔偿限额不少于伍拾万元；3、每次事故每人赔偿限额不少于伍拾万元；4、每人医疗赔偿限额不少于拾万元）</w:t>
      </w:r>
    </w:p>
    <w:p>
      <w:pPr>
        <w:spacing w:line="420" w:lineRule="exact"/>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五、</w:t>
      </w:r>
      <w:r>
        <w:rPr>
          <w:rFonts w:hint="eastAsia" w:ascii="仿宋" w:hAnsi="仿宋" w:eastAsia="仿宋" w:cs="仿宋"/>
          <w:b/>
          <w:bCs w:val="0"/>
          <w:sz w:val="28"/>
          <w:szCs w:val="28"/>
        </w:rPr>
        <w:t>服务方式项目内容：</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服务时应严格遵守国家相关的法律法规和</w:t>
      </w:r>
      <w:r>
        <w:rPr>
          <w:rFonts w:hint="eastAsia" w:ascii="仿宋" w:hAnsi="仿宋" w:eastAsia="仿宋" w:cs="仿宋"/>
          <w:kern w:val="0"/>
          <w:sz w:val="28"/>
          <w:szCs w:val="28"/>
        </w:rPr>
        <w:t>招标方</w:t>
      </w:r>
      <w:r>
        <w:rPr>
          <w:rFonts w:hint="eastAsia" w:ascii="仿宋" w:hAnsi="仿宋" w:eastAsia="仿宋" w:cs="仿宋"/>
          <w:sz w:val="28"/>
          <w:szCs w:val="28"/>
        </w:rPr>
        <w:t>有关的规章制度。</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合同履行期间，投标方应派驻足够的专业技术人员进行日常维保并每月一次根据国家标准结合</w:t>
      </w:r>
      <w:r>
        <w:rPr>
          <w:rFonts w:hint="eastAsia" w:ascii="仿宋" w:hAnsi="仿宋" w:eastAsia="仿宋" w:cs="仿宋"/>
          <w:kern w:val="0"/>
          <w:sz w:val="28"/>
          <w:szCs w:val="28"/>
        </w:rPr>
        <w:t>招标方</w:t>
      </w:r>
      <w:r>
        <w:rPr>
          <w:rFonts w:hint="eastAsia" w:ascii="仿宋" w:hAnsi="仿宋" w:eastAsia="仿宋" w:cs="仿宋"/>
          <w:sz w:val="28"/>
          <w:szCs w:val="28"/>
        </w:rPr>
        <w:t>电梯的工艺和规范，对电梯进行调整、检查、润滑、清洁等维护保养工作，以保持电梯的正常运行。每三个月对主要机械和电气装备细致的检查调整。每年进行一次大的技术检验，由技术人员负责，按技术检验标准，详细检查所有电梯的机械、电气、安全设备的情况。</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每次维修保养前必须通知</w:t>
      </w:r>
      <w:r>
        <w:rPr>
          <w:rFonts w:hint="eastAsia" w:ascii="仿宋" w:hAnsi="仿宋" w:eastAsia="仿宋" w:cs="仿宋"/>
          <w:kern w:val="0"/>
          <w:sz w:val="28"/>
          <w:szCs w:val="28"/>
        </w:rPr>
        <w:t>招标方</w:t>
      </w:r>
      <w:r>
        <w:rPr>
          <w:rFonts w:hint="eastAsia" w:ascii="仿宋" w:hAnsi="仿宋" w:eastAsia="仿宋" w:cs="仿宋"/>
          <w:sz w:val="28"/>
          <w:szCs w:val="28"/>
        </w:rPr>
        <w:t>现场负责人，取得同意后方可进行维修保养工作 。停止电梯运行维修保养时，应有明显的检修标志及围栏等，否则每次向招标方支付违约金100元。发现电梯存在安全隐患时，应及时通知我</w:t>
      </w:r>
      <w:r>
        <w:rPr>
          <w:rFonts w:hint="eastAsia" w:ascii="仿宋" w:hAnsi="仿宋" w:eastAsia="仿宋" w:cs="仿宋"/>
          <w:kern w:val="0"/>
          <w:sz w:val="28"/>
          <w:szCs w:val="28"/>
        </w:rPr>
        <w:t>招标方相</w:t>
      </w:r>
      <w:r>
        <w:rPr>
          <w:rFonts w:hint="eastAsia" w:ascii="仿宋" w:hAnsi="仿宋" w:eastAsia="仿宋" w:cs="仿宋"/>
          <w:sz w:val="28"/>
          <w:szCs w:val="28"/>
        </w:rPr>
        <w:t>关负责人，必要时可以停止使用。维修人员必须持《特种作业人员证》并购买人身意外险，维保人员自行配备工作中所需工具及设备，</w:t>
      </w:r>
      <w:r>
        <w:rPr>
          <w:rFonts w:hint="eastAsia" w:ascii="仿宋" w:hAnsi="仿宋" w:eastAsia="仿宋" w:cs="仿宋"/>
          <w:color w:val="FF0000"/>
          <w:sz w:val="28"/>
          <w:szCs w:val="28"/>
        </w:rPr>
        <w:t>每次维修</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rPr>
        <w:t>保养结束后填写维修保养单，由</w:t>
      </w:r>
      <w:r>
        <w:rPr>
          <w:rFonts w:hint="eastAsia" w:ascii="仿宋" w:hAnsi="仿宋" w:eastAsia="仿宋" w:cs="仿宋"/>
          <w:color w:val="FF0000"/>
          <w:kern w:val="0"/>
          <w:sz w:val="28"/>
          <w:szCs w:val="28"/>
        </w:rPr>
        <w:t>使用单位电梯安全管理人员</w:t>
      </w:r>
      <w:r>
        <w:rPr>
          <w:rFonts w:hint="eastAsia" w:ascii="仿宋" w:hAnsi="仿宋" w:eastAsia="仿宋" w:cs="仿宋"/>
          <w:color w:val="FF0000"/>
          <w:sz w:val="28"/>
          <w:szCs w:val="28"/>
        </w:rPr>
        <w:t>签字认可。</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对电梯提供24小时（包括公休、节假日）应急处理服务。接到报修通知后，要求30分内到达现场，并尽快排除故障，不按规定时间到场每次向招标方支付违约金100元。如果报修故障在12小时不能修复，应将</w:t>
      </w:r>
      <w:r>
        <w:rPr>
          <w:rFonts w:hint="eastAsia" w:ascii="仿宋" w:hAnsi="仿宋" w:eastAsia="仿宋" w:cs="仿宋"/>
          <w:color w:val="FF0000"/>
          <w:sz w:val="28"/>
          <w:szCs w:val="28"/>
        </w:rPr>
        <w:t>设备故障以及原因以书面形式</w:t>
      </w:r>
      <w:r>
        <w:rPr>
          <w:rFonts w:hint="eastAsia" w:ascii="仿宋" w:hAnsi="仿宋" w:eastAsia="仿宋" w:cs="仿宋"/>
          <w:sz w:val="28"/>
          <w:szCs w:val="28"/>
        </w:rPr>
        <w:t>告知使用单位相关人员，并尽快修复。如发生电梯困人事件，接到救援通知后，要求</w:t>
      </w:r>
      <w:r>
        <w:rPr>
          <w:rFonts w:hint="eastAsia" w:ascii="仿宋" w:hAnsi="仿宋" w:eastAsia="仿宋" w:cs="仿宋"/>
          <w:color w:val="FF0000"/>
          <w:sz w:val="28"/>
          <w:szCs w:val="28"/>
        </w:rPr>
        <w:t>30分种</w:t>
      </w:r>
      <w:r>
        <w:rPr>
          <w:rFonts w:hint="eastAsia" w:ascii="仿宋" w:hAnsi="仿宋" w:eastAsia="仿宋" w:cs="仿宋"/>
          <w:sz w:val="28"/>
          <w:szCs w:val="28"/>
        </w:rPr>
        <w:t>内到达现场。因救援不及时导致乘客身体不适而产生的费用由投标方全部承担。</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配合国家执法部门（质检局和特监所）对电梯的随时抽查和定期检测（年检）工作。电梯的定期检测（年检）时间将到时，应提前30日内通知</w:t>
      </w:r>
      <w:r>
        <w:rPr>
          <w:rFonts w:hint="eastAsia" w:ascii="仿宋" w:hAnsi="仿宋" w:eastAsia="仿宋" w:cs="仿宋"/>
          <w:kern w:val="0"/>
          <w:sz w:val="28"/>
          <w:szCs w:val="28"/>
        </w:rPr>
        <w:t>使用单位</w:t>
      </w:r>
      <w:r>
        <w:rPr>
          <w:rFonts w:hint="eastAsia" w:ascii="仿宋" w:hAnsi="仿宋" w:eastAsia="仿宋" w:cs="仿宋"/>
          <w:sz w:val="28"/>
          <w:szCs w:val="28"/>
        </w:rPr>
        <w:t>相关负责人。并负责提供所需资料和部件调整及项目整改工作确保通过年检。其检测报告书交</w:t>
      </w:r>
      <w:r>
        <w:rPr>
          <w:rFonts w:hint="eastAsia" w:ascii="仿宋" w:hAnsi="仿宋" w:eastAsia="仿宋" w:cs="仿宋"/>
          <w:kern w:val="0"/>
          <w:sz w:val="28"/>
          <w:szCs w:val="28"/>
        </w:rPr>
        <w:t>使用单位</w:t>
      </w:r>
      <w:r>
        <w:rPr>
          <w:rFonts w:hint="eastAsia" w:ascii="仿宋" w:hAnsi="仿宋" w:eastAsia="仿宋" w:cs="仿宋"/>
          <w:sz w:val="28"/>
          <w:szCs w:val="28"/>
        </w:rPr>
        <w:t>相关部门存档保管</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定期对</w:t>
      </w:r>
      <w:r>
        <w:rPr>
          <w:rFonts w:hint="eastAsia" w:ascii="仿宋" w:hAnsi="仿宋" w:eastAsia="仿宋" w:cs="仿宋"/>
          <w:kern w:val="0"/>
          <w:sz w:val="28"/>
          <w:szCs w:val="28"/>
        </w:rPr>
        <w:t>使用单位</w:t>
      </w:r>
      <w:r>
        <w:rPr>
          <w:rFonts w:hint="eastAsia" w:ascii="仿宋" w:hAnsi="仿宋" w:eastAsia="仿宋" w:cs="仿宋"/>
          <w:sz w:val="28"/>
          <w:szCs w:val="28"/>
        </w:rPr>
        <w:t>电梯管理与使用员进行基本操作和安全知识培训</w:t>
      </w:r>
      <w:r>
        <w:rPr>
          <w:rFonts w:hint="eastAsia" w:ascii="仿宋" w:hAnsi="仿宋" w:eastAsia="仿宋" w:cs="仿宋"/>
          <w:color w:val="FF0000"/>
          <w:sz w:val="28"/>
          <w:szCs w:val="28"/>
          <w:lang w:val="en-US" w:eastAsia="zh-CN"/>
        </w:rPr>
        <w:t>并做好记录</w:t>
      </w:r>
      <w:r>
        <w:rPr>
          <w:rFonts w:hint="eastAsia" w:ascii="仿宋" w:hAnsi="仿宋" w:eastAsia="仿宋" w:cs="仿宋"/>
          <w:sz w:val="28"/>
          <w:szCs w:val="28"/>
        </w:rPr>
        <w:t>，协助使用单位制定电梯的安全管理制度和应急救援预案</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维保期限内</w:t>
      </w:r>
      <w:r>
        <w:rPr>
          <w:rFonts w:hint="eastAsia" w:ascii="仿宋" w:hAnsi="仿宋" w:eastAsia="仿宋" w:cs="仿宋"/>
          <w:kern w:val="0"/>
          <w:sz w:val="28"/>
          <w:szCs w:val="28"/>
        </w:rPr>
        <w:t>招标方</w:t>
      </w:r>
      <w:r>
        <w:rPr>
          <w:rFonts w:hint="eastAsia" w:ascii="仿宋" w:hAnsi="仿宋" w:eastAsia="仿宋" w:cs="仿宋"/>
          <w:sz w:val="28"/>
          <w:szCs w:val="28"/>
        </w:rPr>
        <w:t>电梯的定期保养、检查和整改、故障修理的人工费全部由中标方承担。</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维保期限内由于中标方派出的维保人员工作过失造成的电梯损坏、人员伤亡或财产损失，由中标方承担全部责任及由此产生的所有费用。</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color w:val="FF0000"/>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rPr>
        <w:t>更换配件要及时，因配件原因停梯时间不允许超</w:t>
      </w:r>
      <w:r>
        <w:rPr>
          <w:rFonts w:hint="eastAsia" w:ascii="仿宋" w:hAnsi="仿宋" w:eastAsia="仿宋" w:cs="仿宋"/>
          <w:color w:val="FF0000"/>
          <w:sz w:val="28"/>
          <w:szCs w:val="28"/>
          <w:lang w:val="en-US" w:eastAsia="zh-CN"/>
        </w:rPr>
        <w:t>3</w:t>
      </w:r>
      <w:r>
        <w:rPr>
          <w:rFonts w:hint="eastAsia" w:ascii="仿宋" w:hAnsi="仿宋" w:eastAsia="仿宋" w:cs="仿宋"/>
          <w:sz w:val="28"/>
          <w:szCs w:val="28"/>
        </w:rPr>
        <w:t>天，特殊情况不能超</w:t>
      </w:r>
      <w:r>
        <w:rPr>
          <w:rFonts w:hint="eastAsia" w:ascii="仿宋" w:hAnsi="仿宋" w:eastAsia="仿宋" w:cs="仿宋"/>
          <w:color w:val="FF0000"/>
          <w:sz w:val="28"/>
          <w:szCs w:val="28"/>
          <w:lang w:val="en-US" w:eastAsia="zh-CN"/>
        </w:rPr>
        <w:t>5</w:t>
      </w:r>
      <w:r>
        <w:rPr>
          <w:rFonts w:hint="eastAsia" w:ascii="仿宋" w:hAnsi="仿宋" w:eastAsia="仿宋" w:cs="仿宋"/>
          <w:sz w:val="28"/>
          <w:szCs w:val="28"/>
        </w:rPr>
        <w:t>天，超一天向招标方支付违约金200元，依次累加。</w:t>
      </w:r>
      <w:r>
        <w:rPr>
          <w:rFonts w:hint="eastAsia" w:ascii="仿宋" w:hAnsi="仿宋" w:eastAsia="仿宋" w:cs="仿宋"/>
          <w:color w:val="FF0000"/>
          <w:sz w:val="28"/>
          <w:szCs w:val="28"/>
          <w:lang w:val="en-US" w:eastAsia="zh-CN"/>
        </w:rPr>
        <w:t>如涉及重大配件更换及改造则需提交书面说明并写明停梯具体时间，院方批准后方可执行。</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投标方应随时听取甲方的反馈，对不正常情况做到认真分析纠正，年检前1个月进行自检，配合特种设备安全监督管理部门对电梯年检，因维护保养原因导致电梯年检不合格的，由投标方进行整改完成并承担复检费用。</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如因服务单位维修不及时或因技术问题导致电梯连续出现故障或在维保期间出现重大安全事故，招标方有权请第三方介入维修并单方面中止合同，扣除保证金及剩余维保款。</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投标方负责与前期和后期维保单位的交接工作。</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更换配件的要求</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13.1、</w:t>
      </w:r>
      <w:r>
        <w:rPr>
          <w:rFonts w:hint="eastAsia" w:ascii="仿宋" w:hAnsi="仿宋" w:eastAsia="仿宋" w:cs="仿宋"/>
          <w:sz w:val="28"/>
          <w:szCs w:val="28"/>
        </w:rPr>
        <w:t>中标单位提供的电梯更换配件必须是原厂生产的、全新的、未使用过的合格产品（附检验合格证书及其他必须的证明文件），达到要求的性能规格。</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13.2、</w:t>
      </w:r>
      <w:r>
        <w:rPr>
          <w:rFonts w:hint="eastAsia" w:ascii="仿宋" w:hAnsi="仿宋" w:eastAsia="仿宋" w:cs="仿宋"/>
          <w:sz w:val="28"/>
          <w:szCs w:val="28"/>
        </w:rPr>
        <w:t>中标单位提供的价格应包括配件、售后服务、培训、技术支持、相关税金等货物本身到达目的地的一切费用。</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13.3、</w:t>
      </w:r>
      <w:r>
        <w:rPr>
          <w:rFonts w:hint="eastAsia" w:ascii="仿宋" w:hAnsi="仿宋" w:eastAsia="仿宋" w:cs="仿宋"/>
          <w:sz w:val="28"/>
          <w:szCs w:val="28"/>
        </w:rPr>
        <w:t>由于配件货源供货渠道问题造成的损失，由中标单位自行承担。</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13.4、</w:t>
      </w:r>
      <w:r>
        <w:rPr>
          <w:rFonts w:hint="eastAsia" w:ascii="仿宋" w:hAnsi="仿宋" w:eastAsia="仿宋" w:cs="仿宋"/>
          <w:sz w:val="28"/>
          <w:szCs w:val="28"/>
        </w:rPr>
        <w:t>原厂配件，若已停产，替代配件必须经</w:t>
      </w:r>
      <w:r>
        <w:rPr>
          <w:rFonts w:hint="eastAsia" w:ascii="仿宋" w:hAnsi="仿宋" w:eastAsia="仿宋" w:cs="仿宋"/>
          <w:kern w:val="0"/>
          <w:sz w:val="28"/>
          <w:szCs w:val="28"/>
        </w:rPr>
        <w:t>使用单位</w:t>
      </w:r>
      <w:r>
        <w:rPr>
          <w:rFonts w:hint="eastAsia" w:ascii="仿宋" w:hAnsi="仿宋" w:eastAsia="仿宋" w:cs="仿宋"/>
          <w:sz w:val="28"/>
          <w:szCs w:val="28"/>
        </w:rPr>
        <w:t>认可。</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13.5、</w:t>
      </w:r>
      <w:r>
        <w:rPr>
          <w:rFonts w:hint="eastAsia" w:ascii="仿宋" w:hAnsi="仿宋" w:eastAsia="仿宋" w:cs="仿宋"/>
          <w:sz w:val="28"/>
          <w:szCs w:val="28"/>
        </w:rPr>
        <w:t>提供各零配件及易损件的单价作为参考。</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14、</w:t>
      </w:r>
      <w:r>
        <w:rPr>
          <w:rFonts w:hint="eastAsia" w:ascii="仿宋" w:hAnsi="仿宋" w:eastAsia="仿宋" w:cs="仿宋"/>
          <w:kern w:val="0"/>
          <w:sz w:val="28"/>
          <w:szCs w:val="28"/>
        </w:rPr>
        <w:t>若发生下列情况之一的，则在结算时按每部每次扣除总承包费用的10%：</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 w:hAnsi="仿宋" w:eastAsia="仿宋" w:cs="仿宋"/>
          <w:color w:val="FF0000"/>
          <w:kern w:val="0"/>
          <w:sz w:val="28"/>
          <w:szCs w:val="28"/>
        </w:rPr>
      </w:pPr>
      <w:r>
        <w:rPr>
          <w:rFonts w:hint="eastAsia" w:ascii="仿宋" w:hAnsi="仿宋" w:eastAsia="仿宋" w:cs="仿宋"/>
          <w:color w:val="FF0000"/>
          <w:kern w:val="0"/>
          <w:sz w:val="28"/>
          <w:szCs w:val="28"/>
          <w:lang w:val="en-US" w:eastAsia="zh-CN"/>
        </w:rPr>
        <w:t>14.1、</w:t>
      </w:r>
      <w:r>
        <w:rPr>
          <w:rFonts w:hint="eastAsia" w:ascii="仿宋" w:hAnsi="仿宋" w:eastAsia="仿宋" w:cs="仿宋"/>
          <w:color w:val="FF0000"/>
          <w:kern w:val="0"/>
          <w:sz w:val="28"/>
          <w:szCs w:val="28"/>
        </w:rPr>
        <w:t>未完成保养任务；</w:t>
      </w:r>
    </w:p>
    <w:p>
      <w:pPr>
        <w:keepNext w:val="0"/>
        <w:keepLines w:val="0"/>
        <w:pageBreakBefore w:val="0"/>
        <w:widowControl/>
        <w:kinsoku/>
        <w:wordWrap/>
        <w:overflowPunct/>
        <w:topLinePunct w:val="0"/>
        <w:autoSpaceDE/>
        <w:autoSpaceDN/>
        <w:bidi w:val="0"/>
        <w:adjustRightInd/>
        <w:snapToGrid/>
        <w:spacing w:line="420" w:lineRule="exact"/>
        <w:ind w:firstLine="560" w:firstLineChars="200"/>
        <w:jc w:val="left"/>
        <w:textAlignment w:val="auto"/>
        <w:rPr>
          <w:rFonts w:hint="eastAsia" w:ascii="仿宋" w:hAnsi="仿宋" w:eastAsia="仿宋" w:cs="仿宋"/>
          <w:color w:val="FF0000"/>
          <w:kern w:val="0"/>
          <w:sz w:val="28"/>
          <w:szCs w:val="28"/>
        </w:rPr>
      </w:pPr>
      <w:r>
        <w:rPr>
          <w:rFonts w:hint="eastAsia" w:ascii="仿宋" w:hAnsi="仿宋" w:eastAsia="仿宋" w:cs="仿宋"/>
          <w:color w:val="FF0000"/>
          <w:kern w:val="0"/>
          <w:sz w:val="28"/>
          <w:szCs w:val="28"/>
        </w:rPr>
        <w:t>1</w:t>
      </w:r>
      <w:r>
        <w:rPr>
          <w:rFonts w:hint="eastAsia" w:ascii="仿宋" w:hAnsi="仿宋" w:eastAsia="仿宋" w:cs="仿宋"/>
          <w:color w:val="FF0000"/>
          <w:kern w:val="0"/>
          <w:sz w:val="28"/>
          <w:szCs w:val="28"/>
          <w:lang w:val="en-US" w:eastAsia="zh-CN"/>
        </w:rPr>
        <w:t>4.2、</w:t>
      </w:r>
      <w:r>
        <w:rPr>
          <w:rFonts w:hint="eastAsia" w:ascii="仿宋" w:hAnsi="仿宋" w:eastAsia="仿宋" w:cs="仿宋"/>
          <w:color w:val="FF0000"/>
          <w:kern w:val="0"/>
          <w:sz w:val="28"/>
          <w:szCs w:val="28"/>
        </w:rPr>
        <w:t>电梯发生故障，招标方通知投标方，投标方在1小时内</w:t>
      </w:r>
      <w:r>
        <w:rPr>
          <w:rFonts w:hint="eastAsia" w:ascii="仿宋" w:hAnsi="仿宋" w:eastAsia="仿宋" w:cs="仿宋"/>
          <w:color w:val="FF0000"/>
          <w:kern w:val="0"/>
          <w:sz w:val="28"/>
          <w:szCs w:val="28"/>
          <w:lang w:val="en-US" w:eastAsia="zh-CN"/>
        </w:rPr>
        <w:t>无人前来</w:t>
      </w:r>
      <w:r>
        <w:rPr>
          <w:rFonts w:hint="eastAsia" w:ascii="仿宋" w:hAnsi="仿宋" w:eastAsia="仿宋" w:cs="仿宋"/>
          <w:color w:val="FF0000"/>
          <w:kern w:val="0"/>
          <w:sz w:val="28"/>
          <w:szCs w:val="28"/>
        </w:rPr>
        <w:t>问题；</w:t>
      </w:r>
    </w:p>
    <w:p>
      <w:pPr>
        <w:spacing w:line="420" w:lineRule="exact"/>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六</w:t>
      </w:r>
      <w:r>
        <w:rPr>
          <w:rFonts w:hint="eastAsia" w:ascii="仿宋" w:hAnsi="仿宋" w:eastAsia="仿宋" w:cs="仿宋"/>
          <w:b/>
          <w:bCs w:val="0"/>
          <w:sz w:val="28"/>
          <w:szCs w:val="28"/>
        </w:rPr>
        <w:t>、投标文件的组成及要求</w:t>
      </w:r>
    </w:p>
    <w:p>
      <w:pPr>
        <w:pStyle w:val="4"/>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1、投标人在编制投标文件前，务必仔细阅读招标文件的所有内容，按招标文件的要求编制、提供投标文件，并保证所提供的全部资料的真实性，并加盖鲜章。</w:t>
      </w:r>
    </w:p>
    <w:p>
      <w:pPr>
        <w:pStyle w:val="4"/>
        <w:keepNext w:val="0"/>
        <w:keepLines w:val="0"/>
        <w:pageBreakBefore w:val="0"/>
        <w:widowControl/>
        <w:kinsoku/>
        <w:wordWrap/>
        <w:overflowPunct/>
        <w:topLinePunct w:val="0"/>
        <w:autoSpaceDE/>
        <w:autoSpaceDN/>
        <w:bidi w:val="0"/>
        <w:adjustRightInd/>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2、投标人近三年无违法违纪的声明函；</w:t>
      </w:r>
    </w:p>
    <w:p>
      <w:pPr>
        <w:pStyle w:val="4"/>
        <w:keepNext w:val="0"/>
        <w:keepLines w:val="0"/>
        <w:pageBreakBefore w:val="0"/>
        <w:kinsoku/>
        <w:wordWrap/>
        <w:overflowPunct/>
        <w:topLinePunct w:val="0"/>
        <w:autoSpaceDE/>
        <w:autoSpaceDN/>
        <w:bidi w:val="0"/>
        <w:adjustRightInd/>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3、投标人资格证明文件：</w:t>
      </w:r>
    </w:p>
    <w:p>
      <w:pPr>
        <w:pStyle w:val="4"/>
        <w:keepNext w:val="0"/>
        <w:keepLines w:val="0"/>
        <w:pageBreakBefore w:val="0"/>
        <w:kinsoku/>
        <w:wordWrap/>
        <w:overflowPunct/>
        <w:topLinePunct w:val="0"/>
        <w:autoSpaceDE/>
        <w:autoSpaceDN/>
        <w:bidi w:val="0"/>
        <w:adjustRightInd/>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3.1</w:t>
      </w:r>
      <w:r>
        <w:rPr>
          <w:rFonts w:hint="eastAsia" w:ascii="仿宋" w:hAnsi="仿宋" w:eastAsia="仿宋" w:cs="仿宋"/>
          <w:b w:val="0"/>
          <w:bCs w:val="0"/>
          <w:kern w:val="0"/>
          <w:sz w:val="28"/>
          <w:szCs w:val="28"/>
        </w:rPr>
        <w:t>、投标人的营业执照、组织机构代码、税务登记证复印件；</w:t>
      </w:r>
    </w:p>
    <w:p>
      <w:pPr>
        <w:pStyle w:val="4"/>
        <w:keepNext w:val="0"/>
        <w:keepLines w:val="0"/>
        <w:pageBreakBefore w:val="0"/>
        <w:kinsoku/>
        <w:wordWrap/>
        <w:overflowPunct/>
        <w:topLinePunct w:val="0"/>
        <w:autoSpaceDE/>
        <w:autoSpaceDN/>
        <w:bidi w:val="0"/>
        <w:adjustRightInd/>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3.2</w:t>
      </w:r>
      <w:r>
        <w:rPr>
          <w:rFonts w:hint="eastAsia" w:ascii="仿宋" w:hAnsi="仿宋" w:eastAsia="仿宋" w:cs="仿宋"/>
          <w:b w:val="0"/>
          <w:bCs w:val="0"/>
          <w:kern w:val="0"/>
          <w:sz w:val="28"/>
          <w:szCs w:val="28"/>
        </w:rPr>
        <w:t>、特种设备安装维修许可证；</w:t>
      </w:r>
    </w:p>
    <w:p>
      <w:pPr>
        <w:pStyle w:val="4"/>
        <w:keepNext w:val="0"/>
        <w:keepLines w:val="0"/>
        <w:pageBreakBefore w:val="0"/>
        <w:kinsoku/>
        <w:wordWrap/>
        <w:overflowPunct/>
        <w:topLinePunct w:val="0"/>
        <w:autoSpaceDE/>
        <w:autoSpaceDN/>
        <w:bidi w:val="0"/>
        <w:adjustRightInd/>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3.3</w:t>
      </w:r>
      <w:r>
        <w:rPr>
          <w:rFonts w:hint="eastAsia" w:ascii="仿宋" w:hAnsi="仿宋" w:eastAsia="仿宋" w:cs="仿宋"/>
          <w:b w:val="0"/>
          <w:bCs w:val="0"/>
          <w:kern w:val="0"/>
          <w:sz w:val="28"/>
          <w:szCs w:val="28"/>
        </w:rPr>
        <w:t>、投标代表为法人代表的，需提供法人代表证明书原件和法人代表身份证复印件；投标代表非法人代表的，需提供“法定代表人授权书”原件及投标代表本人身份证及复印件和法人身份证复印件；</w:t>
      </w:r>
    </w:p>
    <w:p>
      <w:pPr>
        <w:pStyle w:val="4"/>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4、投标人近三年来电梯维保业绩</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格式见附表1，须提供与业主的合同复印件）；</w:t>
      </w:r>
    </w:p>
    <w:p>
      <w:pPr>
        <w:pStyle w:val="4"/>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5、电梯维护保养技术人员明细及证件资料复印件。</w:t>
      </w:r>
    </w:p>
    <w:p>
      <w:pPr>
        <w:pStyle w:val="4"/>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6、能证明投标人资质、实力、信誉的其他材料。</w:t>
      </w:r>
    </w:p>
    <w:p>
      <w:pPr>
        <w:pStyle w:val="4"/>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7、投标方的维保方案、服务承诺、免费更换材料清单等。</w:t>
      </w:r>
    </w:p>
    <w:p>
      <w:pPr>
        <w:pStyle w:val="4"/>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rPr>
        <w:t>8、</w:t>
      </w:r>
      <w:r>
        <w:rPr>
          <w:rFonts w:hint="eastAsia" w:ascii="仿宋" w:hAnsi="仿宋" w:eastAsia="仿宋" w:cs="仿宋"/>
          <w:b w:val="0"/>
          <w:bCs w:val="0"/>
          <w:sz w:val="28"/>
          <w:szCs w:val="28"/>
        </w:rPr>
        <w:t>投标单位须提交二份投标文件，其中正本一份，副本一份。无论中标与否，标书均不退还。</w:t>
      </w:r>
    </w:p>
    <w:p>
      <w:pPr>
        <w:pStyle w:val="4"/>
        <w:keepNext w:val="0"/>
        <w:keepLines w:val="0"/>
        <w:pageBreakBefore w:val="0"/>
        <w:kinsoku/>
        <w:wordWrap/>
        <w:overflowPunct/>
        <w:topLinePunct w:val="0"/>
        <w:autoSpaceDE/>
        <w:autoSpaceDN/>
        <w:bidi w:val="0"/>
        <w:adjustRightInd/>
        <w:snapToGrid w:val="0"/>
        <w:spacing w:line="420" w:lineRule="exact"/>
        <w:ind w:firstLine="560" w:firstLineChars="200"/>
        <w:textAlignment w:val="auto"/>
        <w:rPr>
          <w:rFonts w:ascii="黑体" w:eastAsia="黑体"/>
          <w:b/>
          <w:szCs w:val="21"/>
        </w:rPr>
      </w:pPr>
      <w:r>
        <w:rPr>
          <w:rFonts w:hint="eastAsia" w:ascii="仿宋" w:hAnsi="仿宋" w:eastAsia="仿宋" w:cs="仿宋"/>
          <w:b w:val="0"/>
          <w:bCs w:val="0"/>
          <w:kern w:val="0"/>
          <w:sz w:val="28"/>
          <w:szCs w:val="28"/>
        </w:rPr>
        <w:t>投标人应将以上内容依次按序编排投标文件目录并标注页码，目录置首页，加封面后装订成册。</w:t>
      </w:r>
      <w:bookmarkEnd w:id="0"/>
      <w:bookmarkEnd w:id="1"/>
      <w:bookmarkEnd w:id="2"/>
      <w:bookmarkEnd w:id="3"/>
      <w:bookmarkEnd w:id="4"/>
      <w:bookmarkEnd w:id="5"/>
      <w:bookmarkEnd w:id="6"/>
      <w:bookmarkEnd w:id="7"/>
    </w:p>
    <w:p>
      <w:pPr>
        <w:numPr>
          <w:ilvl w:val="0"/>
          <w:numId w:val="0"/>
        </w:numPr>
        <w:ind w:leftChars="0"/>
        <w:rPr>
          <w:rFonts w:hint="eastAsia"/>
          <w:sz w:val="28"/>
          <w:szCs w:val="36"/>
          <w:lang w:val="en-US" w:eastAsia="zh-CN"/>
        </w:rPr>
      </w:pPr>
      <w:r>
        <w:rPr>
          <w:rFonts w:hint="eastAsia"/>
          <w:sz w:val="28"/>
          <w:szCs w:val="36"/>
          <w:lang w:val="en-US" w:eastAsia="zh-CN"/>
        </w:rPr>
        <w:t>七、综合评分明细表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365"/>
        <w:gridCol w:w="855"/>
        <w:gridCol w:w="379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序号</w:t>
            </w:r>
          </w:p>
        </w:tc>
        <w:tc>
          <w:tcPr>
            <w:tcW w:w="136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评分因素及权重</w:t>
            </w:r>
          </w:p>
        </w:tc>
        <w:tc>
          <w:tcPr>
            <w:tcW w:w="85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分值</w:t>
            </w:r>
          </w:p>
        </w:tc>
        <w:tc>
          <w:tcPr>
            <w:tcW w:w="3793"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评分标准</w:t>
            </w:r>
          </w:p>
        </w:tc>
        <w:tc>
          <w:tcPr>
            <w:tcW w:w="170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1</w:t>
            </w:r>
          </w:p>
        </w:tc>
        <w:tc>
          <w:tcPr>
            <w:tcW w:w="136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报价35%</w:t>
            </w:r>
          </w:p>
        </w:tc>
        <w:tc>
          <w:tcPr>
            <w:tcW w:w="85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35</w:t>
            </w:r>
          </w:p>
        </w:tc>
        <w:tc>
          <w:tcPr>
            <w:tcW w:w="3793" w:type="dxa"/>
          </w:tcPr>
          <w:p>
            <w:pPr>
              <w:numPr>
                <w:ilvl w:val="0"/>
                <w:numId w:val="0"/>
              </w:numPr>
              <w:rPr>
                <w:rFonts w:hint="default"/>
                <w:sz w:val="28"/>
                <w:szCs w:val="36"/>
                <w:vertAlign w:val="baseline"/>
                <w:lang w:val="en-US" w:eastAsia="zh-CN"/>
              </w:rPr>
            </w:pPr>
            <w:r>
              <w:rPr>
                <w:rFonts w:hint="default"/>
                <w:sz w:val="28"/>
                <w:szCs w:val="36"/>
                <w:vertAlign w:val="baseline"/>
                <w:lang w:val="en-US" w:eastAsia="zh-CN"/>
              </w:rPr>
              <w:t>经评审有效投标中，投标价格最低的投标报价作为评标基准价;投标报价得分=(评标基准价/投标报价）×35</w:t>
            </w:r>
          </w:p>
        </w:tc>
        <w:tc>
          <w:tcPr>
            <w:tcW w:w="1705" w:type="dxa"/>
          </w:tcPr>
          <w:p>
            <w:pPr>
              <w:numPr>
                <w:ilvl w:val="0"/>
                <w:numId w:val="0"/>
              </w:numP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2</w:t>
            </w:r>
          </w:p>
        </w:tc>
        <w:tc>
          <w:tcPr>
            <w:tcW w:w="136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服务及商务要求，服务方式项目内容35%</w:t>
            </w:r>
          </w:p>
        </w:tc>
        <w:tc>
          <w:tcPr>
            <w:tcW w:w="85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35</w:t>
            </w:r>
          </w:p>
        </w:tc>
        <w:tc>
          <w:tcPr>
            <w:tcW w:w="3793" w:type="dxa"/>
          </w:tcPr>
          <w:p>
            <w:pPr>
              <w:numPr>
                <w:ilvl w:val="0"/>
                <w:numId w:val="0"/>
              </w:numPr>
              <w:rPr>
                <w:rFonts w:hint="default"/>
                <w:sz w:val="28"/>
                <w:szCs w:val="36"/>
                <w:vertAlign w:val="baseline"/>
                <w:lang w:val="en-US" w:eastAsia="zh-CN"/>
              </w:rPr>
            </w:pPr>
            <w:r>
              <w:rPr>
                <w:rFonts w:hint="default"/>
                <w:sz w:val="28"/>
                <w:szCs w:val="36"/>
                <w:vertAlign w:val="baseline"/>
                <w:lang w:val="en-US" w:eastAsia="zh-CN"/>
              </w:rPr>
              <w:t>完全符合招标文件</w:t>
            </w:r>
            <w:r>
              <w:rPr>
                <w:rFonts w:hint="eastAsia"/>
                <w:sz w:val="28"/>
                <w:szCs w:val="36"/>
                <w:vertAlign w:val="baseline"/>
                <w:lang w:val="en-US" w:eastAsia="zh-CN"/>
              </w:rPr>
              <w:t>第四条、第五条</w:t>
            </w:r>
            <w:r>
              <w:rPr>
                <w:rFonts w:hint="default"/>
                <w:sz w:val="28"/>
                <w:szCs w:val="36"/>
                <w:vertAlign w:val="baseline"/>
                <w:lang w:val="en-US" w:eastAsia="zh-CN"/>
              </w:rPr>
              <w:t>没有负偏离得35分;低于招标文件要求的(负偏离)，</w:t>
            </w:r>
            <w:r>
              <w:rPr>
                <w:rFonts w:hint="eastAsia"/>
                <w:sz w:val="28"/>
                <w:szCs w:val="36"/>
                <w:vertAlign w:val="baseline"/>
                <w:lang w:val="en-US" w:eastAsia="zh-CN"/>
              </w:rPr>
              <w:t>每</w:t>
            </w:r>
            <w:r>
              <w:rPr>
                <w:rFonts w:hint="default"/>
                <w:sz w:val="28"/>
                <w:szCs w:val="36"/>
                <w:vertAlign w:val="baseline"/>
                <w:lang w:val="en-US" w:eastAsia="zh-CN"/>
              </w:rPr>
              <w:t>一项扣</w:t>
            </w:r>
            <w:r>
              <w:rPr>
                <w:rFonts w:hint="eastAsia"/>
                <w:sz w:val="28"/>
                <w:szCs w:val="36"/>
                <w:vertAlign w:val="baseline"/>
                <w:lang w:val="en-US" w:eastAsia="zh-CN"/>
              </w:rPr>
              <w:t>2</w:t>
            </w:r>
            <w:r>
              <w:rPr>
                <w:rFonts w:hint="default"/>
                <w:sz w:val="28"/>
                <w:szCs w:val="36"/>
                <w:vertAlign w:val="baseline"/>
                <w:lang w:val="en-US" w:eastAsia="zh-CN"/>
              </w:rPr>
              <w:t>分，扣完为止。</w:t>
            </w:r>
          </w:p>
        </w:tc>
        <w:tc>
          <w:tcPr>
            <w:tcW w:w="1705" w:type="dxa"/>
          </w:tcPr>
          <w:p>
            <w:pPr>
              <w:numPr>
                <w:ilvl w:val="0"/>
                <w:numId w:val="0"/>
              </w:numP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3</w:t>
            </w:r>
          </w:p>
        </w:tc>
        <w:tc>
          <w:tcPr>
            <w:tcW w:w="136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实施方案12%</w:t>
            </w:r>
          </w:p>
        </w:tc>
        <w:tc>
          <w:tcPr>
            <w:tcW w:w="85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12</w:t>
            </w:r>
          </w:p>
        </w:tc>
        <w:tc>
          <w:tcPr>
            <w:tcW w:w="3793" w:type="dxa"/>
          </w:tcPr>
          <w:p>
            <w:pPr>
              <w:numPr>
                <w:ilvl w:val="0"/>
                <w:numId w:val="0"/>
              </w:numPr>
              <w:rPr>
                <w:rFonts w:hint="default"/>
                <w:sz w:val="28"/>
                <w:szCs w:val="36"/>
                <w:vertAlign w:val="baseline"/>
                <w:lang w:val="en-US" w:eastAsia="zh-CN"/>
              </w:rPr>
            </w:pPr>
            <w:r>
              <w:rPr>
                <w:rFonts w:hint="default"/>
                <w:sz w:val="28"/>
                <w:szCs w:val="36"/>
                <w:vertAlign w:val="baseline"/>
                <w:lang w:val="en-US" w:eastAsia="zh-CN"/>
              </w:rPr>
              <w:t>根据投标人提供的实施方案进行综合评审，包括但不限于以下要素:①</w:t>
            </w:r>
            <w:r>
              <w:rPr>
                <w:rFonts w:hint="eastAsia"/>
                <w:sz w:val="28"/>
                <w:szCs w:val="36"/>
                <w:vertAlign w:val="baseline"/>
                <w:lang w:val="en-US" w:eastAsia="zh-CN"/>
              </w:rPr>
              <w:t>用户档案管理</w:t>
            </w:r>
            <w:r>
              <w:rPr>
                <w:rFonts w:hint="default"/>
                <w:sz w:val="28"/>
                <w:szCs w:val="36"/>
                <w:vertAlign w:val="baseline"/>
                <w:lang w:val="en-US" w:eastAsia="zh-CN"/>
              </w:rPr>
              <w:t>②</w:t>
            </w:r>
            <w:r>
              <w:rPr>
                <w:rFonts w:hint="eastAsia"/>
                <w:sz w:val="28"/>
                <w:szCs w:val="36"/>
                <w:vertAlign w:val="baseline"/>
                <w:lang w:val="en-US" w:eastAsia="zh-CN"/>
              </w:rPr>
              <w:t>维修及投诉热线设置③紧急处理要求④定期巡访⑤提供维保记录⑥电梯报检提醒及服务</w:t>
            </w:r>
          </w:p>
          <w:p>
            <w:pPr>
              <w:numPr>
                <w:ilvl w:val="0"/>
                <w:numId w:val="0"/>
              </w:numPr>
              <w:rPr>
                <w:rFonts w:hint="default"/>
                <w:sz w:val="28"/>
                <w:szCs w:val="36"/>
                <w:vertAlign w:val="baseline"/>
                <w:lang w:val="en-US" w:eastAsia="zh-CN"/>
              </w:rPr>
            </w:pPr>
          </w:p>
        </w:tc>
        <w:tc>
          <w:tcPr>
            <w:tcW w:w="1705" w:type="dxa"/>
          </w:tcPr>
          <w:p>
            <w:pPr>
              <w:numPr>
                <w:ilvl w:val="0"/>
                <w:numId w:val="0"/>
              </w:numP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4</w:t>
            </w:r>
          </w:p>
        </w:tc>
        <w:tc>
          <w:tcPr>
            <w:tcW w:w="136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履约能力12%</w:t>
            </w:r>
          </w:p>
        </w:tc>
        <w:tc>
          <w:tcPr>
            <w:tcW w:w="85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12</w:t>
            </w:r>
          </w:p>
        </w:tc>
        <w:tc>
          <w:tcPr>
            <w:tcW w:w="3793"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投标人提供遂宁市范围内二级甲等以上（含）医院电梯维保合同，每提供一家得4分，本项最多得12分</w:t>
            </w:r>
          </w:p>
        </w:tc>
        <w:tc>
          <w:tcPr>
            <w:tcW w:w="1705" w:type="dxa"/>
          </w:tcPr>
          <w:p>
            <w:pPr>
              <w:numPr>
                <w:ilvl w:val="0"/>
                <w:numId w:val="0"/>
              </w:numP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5</w:t>
            </w:r>
          </w:p>
        </w:tc>
        <w:tc>
          <w:tcPr>
            <w:tcW w:w="136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服务保障能力6%</w:t>
            </w:r>
          </w:p>
        </w:tc>
        <w:tc>
          <w:tcPr>
            <w:tcW w:w="855"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6</w:t>
            </w:r>
          </w:p>
        </w:tc>
        <w:tc>
          <w:tcPr>
            <w:tcW w:w="3793" w:type="dxa"/>
          </w:tcPr>
          <w:p>
            <w:pPr>
              <w:numPr>
                <w:ilvl w:val="0"/>
                <w:numId w:val="0"/>
              </w:numPr>
              <w:rPr>
                <w:rFonts w:hint="default"/>
                <w:sz w:val="28"/>
                <w:szCs w:val="36"/>
                <w:vertAlign w:val="baseline"/>
                <w:lang w:val="en-US" w:eastAsia="zh-CN"/>
              </w:rPr>
            </w:pPr>
            <w:r>
              <w:rPr>
                <w:rFonts w:hint="eastAsia"/>
                <w:sz w:val="28"/>
                <w:szCs w:val="36"/>
                <w:vertAlign w:val="baseline"/>
                <w:lang w:val="en-US" w:eastAsia="zh-CN"/>
              </w:rPr>
              <w:t>投标人提供有资质的维保人员证明（有效期内），每提供一名得1分。本项最多得6分</w:t>
            </w:r>
          </w:p>
        </w:tc>
        <w:tc>
          <w:tcPr>
            <w:tcW w:w="1705" w:type="dxa"/>
          </w:tcPr>
          <w:p>
            <w:pPr>
              <w:numPr>
                <w:ilvl w:val="0"/>
                <w:numId w:val="0"/>
              </w:numPr>
              <w:rPr>
                <w:rFonts w:hint="default"/>
                <w:sz w:val="28"/>
                <w:szCs w:val="36"/>
                <w:vertAlign w:val="baseline"/>
                <w:lang w:val="en-US" w:eastAsia="zh-CN"/>
              </w:rPr>
            </w:pPr>
          </w:p>
        </w:tc>
      </w:tr>
    </w:tbl>
    <w:p>
      <w:pPr>
        <w:numPr>
          <w:ilvl w:val="0"/>
          <w:numId w:val="0"/>
        </w:numPr>
        <w:ind w:leftChars="0"/>
        <w:rPr>
          <w:rFonts w:hint="default"/>
          <w:sz w:val="28"/>
          <w:szCs w:val="36"/>
          <w:lang w:val="en-US" w:eastAsia="zh-CN"/>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jc w:val="left"/>
        <w:rPr>
          <w:rFonts w:ascii="黑体" w:eastAsia="黑体"/>
          <w:b/>
          <w:szCs w:val="21"/>
        </w:rPr>
      </w:pPr>
    </w:p>
    <w:p>
      <w:pPr>
        <w:pStyle w:val="4"/>
        <w:snapToGrid w:val="0"/>
        <w:spacing w:line="440" w:lineRule="exact"/>
        <w:rPr>
          <w:b/>
          <w:sz w:val="30"/>
          <w:szCs w:val="30"/>
        </w:rPr>
      </w:pPr>
      <w:r>
        <w:rPr>
          <w:b/>
          <w:sz w:val="30"/>
          <w:szCs w:val="30"/>
        </w:rPr>
        <w:t>附表：1</w:t>
      </w:r>
    </w:p>
    <w:p>
      <w:pPr>
        <w:pStyle w:val="4"/>
        <w:snapToGrid w:val="0"/>
        <w:spacing w:line="440" w:lineRule="exact"/>
        <w:ind w:firstLine="3301" w:firstLineChars="1096"/>
        <w:rPr>
          <w:b/>
          <w:sz w:val="30"/>
          <w:szCs w:val="30"/>
        </w:rPr>
      </w:pPr>
      <w:r>
        <w:rPr>
          <w:b/>
          <w:sz w:val="30"/>
          <w:szCs w:val="30"/>
        </w:rPr>
        <w:t>维护保养业绩表</w:t>
      </w:r>
    </w:p>
    <w:tbl>
      <w:tblPr>
        <w:tblStyle w:val="7"/>
        <w:tblW w:w="0" w:type="auto"/>
        <w:tblInd w:w="0" w:type="dxa"/>
        <w:tblLayout w:type="fixed"/>
        <w:tblCellMar>
          <w:top w:w="0" w:type="dxa"/>
          <w:left w:w="108" w:type="dxa"/>
          <w:bottom w:w="0" w:type="dxa"/>
          <w:right w:w="108" w:type="dxa"/>
        </w:tblCellMar>
      </w:tblPr>
      <w:tblGrid>
        <w:gridCol w:w="647"/>
        <w:gridCol w:w="538"/>
        <w:gridCol w:w="1082"/>
        <w:gridCol w:w="1441"/>
        <w:gridCol w:w="1080"/>
        <w:gridCol w:w="180"/>
        <w:gridCol w:w="719"/>
        <w:gridCol w:w="181"/>
        <w:gridCol w:w="960"/>
        <w:gridCol w:w="1026"/>
        <w:gridCol w:w="1914"/>
      </w:tblGrid>
      <w:tr>
        <w:tblPrEx>
          <w:tblCellMar>
            <w:top w:w="0" w:type="dxa"/>
            <w:left w:w="108" w:type="dxa"/>
            <w:bottom w:w="0" w:type="dxa"/>
            <w:right w:w="108" w:type="dxa"/>
          </w:tblCellMar>
        </w:tblPrEx>
        <w:tc>
          <w:tcPr>
            <w:tcW w:w="118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单位名称</w:t>
            </w:r>
          </w:p>
        </w:tc>
        <w:tc>
          <w:tcPr>
            <w:tcW w:w="3603" w:type="dxa"/>
            <w:gridSpan w:val="3"/>
            <w:tcBorders>
              <w:top w:val="single" w:color="auto" w:sz="4" w:space="0"/>
              <w:left w:val="single" w:color="auto" w:sz="4" w:space="0"/>
              <w:bottom w:val="single" w:color="auto" w:sz="4" w:space="0"/>
              <w:right w:val="single" w:color="auto" w:sz="4" w:space="0"/>
            </w:tcBorders>
          </w:tcPr>
          <w:p>
            <w:pPr>
              <w:pStyle w:val="4"/>
              <w:snapToGrid w:val="0"/>
              <w:spacing w:line="400" w:lineRule="exact"/>
              <w:rPr>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通信地址</w:t>
            </w:r>
          </w:p>
        </w:tc>
        <w:tc>
          <w:tcPr>
            <w:tcW w:w="3900" w:type="dxa"/>
            <w:gridSpan w:val="3"/>
            <w:tcBorders>
              <w:top w:val="single" w:color="auto" w:sz="4" w:space="0"/>
              <w:left w:val="single" w:color="auto" w:sz="4" w:space="0"/>
              <w:bottom w:val="single" w:color="auto" w:sz="4" w:space="0"/>
              <w:right w:val="single" w:color="auto" w:sz="4" w:space="0"/>
            </w:tcBorders>
          </w:tcPr>
          <w:p>
            <w:pPr>
              <w:pStyle w:val="4"/>
              <w:snapToGrid w:val="0"/>
              <w:spacing w:line="400" w:lineRule="exact"/>
              <w:rPr>
                <w:szCs w:val="21"/>
              </w:rPr>
            </w:pPr>
          </w:p>
        </w:tc>
      </w:tr>
      <w:tr>
        <w:tblPrEx>
          <w:tblCellMar>
            <w:top w:w="0" w:type="dxa"/>
            <w:left w:w="108" w:type="dxa"/>
            <w:bottom w:w="0" w:type="dxa"/>
            <w:right w:w="108" w:type="dxa"/>
          </w:tblCellMar>
        </w:tblPrEx>
        <w:tc>
          <w:tcPr>
            <w:tcW w:w="118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法人代表</w:t>
            </w:r>
          </w:p>
        </w:tc>
        <w:tc>
          <w:tcPr>
            <w:tcW w:w="3603" w:type="dxa"/>
            <w:gridSpan w:val="3"/>
            <w:tcBorders>
              <w:top w:val="single" w:color="auto" w:sz="4" w:space="0"/>
              <w:left w:val="single" w:color="auto" w:sz="4" w:space="0"/>
              <w:bottom w:val="single" w:color="auto" w:sz="4" w:space="0"/>
              <w:right w:val="single" w:color="auto" w:sz="4" w:space="0"/>
            </w:tcBorders>
          </w:tcPr>
          <w:p>
            <w:pPr>
              <w:pStyle w:val="4"/>
              <w:snapToGrid w:val="0"/>
              <w:spacing w:line="400" w:lineRule="exact"/>
              <w:rPr>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联系电话</w:t>
            </w:r>
          </w:p>
        </w:tc>
        <w:tc>
          <w:tcPr>
            <w:tcW w:w="3900" w:type="dxa"/>
            <w:gridSpan w:val="3"/>
            <w:tcBorders>
              <w:top w:val="single" w:color="auto" w:sz="4" w:space="0"/>
              <w:left w:val="single" w:color="auto" w:sz="4" w:space="0"/>
              <w:bottom w:val="single" w:color="auto" w:sz="4" w:space="0"/>
              <w:right w:val="single" w:color="auto" w:sz="4" w:space="0"/>
            </w:tcBorders>
          </w:tcPr>
          <w:p>
            <w:pPr>
              <w:pStyle w:val="4"/>
              <w:snapToGrid w:val="0"/>
              <w:spacing w:line="400" w:lineRule="exact"/>
              <w:rPr>
                <w:szCs w:val="21"/>
              </w:rPr>
            </w:pPr>
          </w:p>
        </w:tc>
      </w:tr>
      <w:tr>
        <w:tblPrEx>
          <w:tblCellMar>
            <w:top w:w="0" w:type="dxa"/>
            <w:left w:w="108" w:type="dxa"/>
            <w:bottom w:w="0" w:type="dxa"/>
            <w:right w:w="108" w:type="dxa"/>
          </w:tblCellMar>
        </w:tblPrEx>
        <w:tc>
          <w:tcPr>
            <w:tcW w:w="118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服务电话</w:t>
            </w:r>
          </w:p>
        </w:tc>
        <w:tc>
          <w:tcPr>
            <w:tcW w:w="3603"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传真</w:t>
            </w:r>
          </w:p>
        </w:tc>
        <w:tc>
          <w:tcPr>
            <w:tcW w:w="3900" w:type="dxa"/>
            <w:gridSpan w:val="3"/>
            <w:tcBorders>
              <w:top w:val="single" w:color="auto" w:sz="4" w:space="0"/>
              <w:left w:val="single" w:color="auto" w:sz="4" w:space="0"/>
              <w:bottom w:val="single" w:color="auto" w:sz="4" w:space="0"/>
              <w:right w:val="single" w:color="auto" w:sz="4" w:space="0"/>
            </w:tcBorders>
          </w:tcPr>
          <w:p>
            <w:pPr>
              <w:pStyle w:val="4"/>
              <w:snapToGrid w:val="0"/>
              <w:spacing w:line="400" w:lineRule="exact"/>
              <w:jc w:val="center"/>
              <w:rPr>
                <w:szCs w:val="21"/>
              </w:rPr>
            </w:pPr>
          </w:p>
        </w:tc>
      </w:tr>
      <w:tr>
        <w:tblPrEx>
          <w:tblCellMar>
            <w:top w:w="0" w:type="dxa"/>
            <w:left w:w="108" w:type="dxa"/>
            <w:bottom w:w="0" w:type="dxa"/>
            <w:right w:w="108" w:type="dxa"/>
          </w:tblCellMar>
        </w:tblPrEx>
        <w:tc>
          <w:tcPr>
            <w:tcW w:w="118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280" w:lineRule="exact"/>
              <w:jc w:val="center"/>
              <w:rPr>
                <w:szCs w:val="21"/>
              </w:rPr>
            </w:pPr>
            <w:r>
              <w:rPr>
                <w:szCs w:val="21"/>
              </w:rPr>
              <w:t>安装维修许可级别</w:t>
            </w:r>
          </w:p>
        </w:tc>
        <w:tc>
          <w:tcPr>
            <w:tcW w:w="3603"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280" w:lineRule="exact"/>
              <w:rPr>
                <w:szCs w:val="21"/>
              </w:rPr>
            </w:pPr>
            <w:r>
              <w:rPr>
                <w:szCs w:val="21"/>
              </w:rPr>
              <w:t>乘客电梯：      载货电梯：</w:t>
            </w:r>
          </w:p>
          <w:p>
            <w:pPr>
              <w:pStyle w:val="4"/>
              <w:snapToGrid w:val="0"/>
              <w:spacing w:line="280" w:lineRule="exact"/>
              <w:rPr>
                <w:szCs w:val="21"/>
              </w:rPr>
            </w:pPr>
            <w:r>
              <w:rPr>
                <w:szCs w:val="21"/>
              </w:rPr>
              <w:t xml:space="preserve">  </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280" w:lineRule="exact"/>
              <w:jc w:val="center"/>
              <w:rPr>
                <w:szCs w:val="21"/>
              </w:rPr>
            </w:pPr>
            <w:r>
              <w:rPr>
                <w:szCs w:val="21"/>
              </w:rPr>
              <w:t>证书编号</w:t>
            </w:r>
          </w:p>
        </w:tc>
        <w:tc>
          <w:tcPr>
            <w:tcW w:w="3900" w:type="dxa"/>
            <w:gridSpan w:val="3"/>
            <w:tcBorders>
              <w:top w:val="single" w:color="auto" w:sz="4" w:space="0"/>
              <w:left w:val="single" w:color="auto" w:sz="4" w:space="0"/>
              <w:bottom w:val="single" w:color="auto" w:sz="4" w:space="0"/>
              <w:right w:val="single" w:color="auto" w:sz="4" w:space="0"/>
            </w:tcBorders>
          </w:tcPr>
          <w:p>
            <w:pPr>
              <w:pStyle w:val="4"/>
              <w:snapToGrid w:val="0"/>
              <w:spacing w:line="280" w:lineRule="exact"/>
              <w:jc w:val="center"/>
              <w:rPr>
                <w:szCs w:val="21"/>
              </w:rPr>
            </w:pPr>
          </w:p>
        </w:tc>
      </w:tr>
      <w:tr>
        <w:tblPrEx>
          <w:tblCellMar>
            <w:top w:w="0" w:type="dxa"/>
            <w:left w:w="108" w:type="dxa"/>
            <w:bottom w:w="0" w:type="dxa"/>
            <w:right w:w="108" w:type="dxa"/>
          </w:tblCellMar>
        </w:tblPrEx>
        <w:tc>
          <w:tcPr>
            <w:tcW w:w="118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注册资金</w:t>
            </w:r>
          </w:p>
        </w:tc>
        <w:tc>
          <w:tcPr>
            <w:tcW w:w="3603"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rPr>
                <w:szCs w:val="21"/>
              </w:rPr>
            </w:pPr>
            <w:r>
              <w:rPr>
                <w:szCs w:val="21"/>
              </w:rPr>
              <w:t>人民币：       万元</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持证人数</w:t>
            </w:r>
          </w:p>
        </w:tc>
        <w:tc>
          <w:tcPr>
            <w:tcW w:w="3900" w:type="dxa"/>
            <w:gridSpan w:val="3"/>
            <w:tcBorders>
              <w:top w:val="single" w:color="auto" w:sz="4" w:space="0"/>
              <w:left w:val="single" w:color="auto" w:sz="4" w:space="0"/>
              <w:bottom w:val="single" w:color="auto" w:sz="4" w:space="0"/>
              <w:right w:val="single" w:color="auto" w:sz="4" w:space="0"/>
            </w:tcBorders>
          </w:tcPr>
          <w:p>
            <w:pPr>
              <w:pStyle w:val="4"/>
              <w:snapToGrid w:val="0"/>
              <w:spacing w:line="400" w:lineRule="exact"/>
              <w:jc w:val="center"/>
              <w:rPr>
                <w:szCs w:val="21"/>
              </w:rPr>
            </w:pPr>
          </w:p>
        </w:tc>
      </w:tr>
      <w:tr>
        <w:tblPrEx>
          <w:tblCellMar>
            <w:top w:w="0" w:type="dxa"/>
            <w:left w:w="108" w:type="dxa"/>
            <w:bottom w:w="0" w:type="dxa"/>
            <w:right w:w="108" w:type="dxa"/>
          </w:tblCellMar>
        </w:tblPrEx>
        <w:tc>
          <w:tcPr>
            <w:tcW w:w="9768"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rPr>
                <w:szCs w:val="21"/>
              </w:rPr>
            </w:pPr>
            <w:r>
              <w:rPr>
                <w:szCs w:val="21"/>
              </w:rPr>
              <w:t>电梯在保台数合计（合同须在有效期）                    台</w:t>
            </w:r>
          </w:p>
        </w:tc>
      </w:tr>
      <w:tr>
        <w:tblPrEx>
          <w:tblCellMar>
            <w:top w:w="0" w:type="dxa"/>
            <w:left w:w="108" w:type="dxa"/>
            <w:bottom w:w="0" w:type="dxa"/>
            <w:right w:w="108" w:type="dxa"/>
          </w:tblCellMar>
        </w:tblPrEx>
        <w:tc>
          <w:tcPr>
            <w:tcW w:w="9768"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280" w:lineRule="exact"/>
              <w:jc w:val="center"/>
            </w:pPr>
            <w:r>
              <w:rPr>
                <w:szCs w:val="21"/>
              </w:rPr>
              <w:t>合同在有效期内、单个合同</w:t>
            </w:r>
            <w:r>
              <w:rPr>
                <w:rFonts w:hint="eastAsia"/>
                <w:szCs w:val="21"/>
                <w:lang w:val="en-US" w:eastAsia="zh-CN"/>
              </w:rPr>
              <w:t>5</w:t>
            </w:r>
            <w:r>
              <w:rPr>
                <w:szCs w:val="21"/>
              </w:rPr>
              <w:t>台及以上要求的维保业绩</w:t>
            </w:r>
          </w:p>
        </w:tc>
      </w:tr>
      <w:tr>
        <w:tblPrEx>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序号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rPr>
                <w:szCs w:val="21"/>
              </w:rPr>
            </w:pPr>
            <w:r>
              <w:rPr>
                <w:szCs w:val="21"/>
              </w:rPr>
              <w:t>电梯使用单位</w:t>
            </w: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400" w:lineRule="exact"/>
              <w:jc w:val="center"/>
              <w:rPr>
                <w:szCs w:val="21"/>
              </w:rPr>
            </w:pPr>
            <w:r>
              <w:rPr>
                <w:szCs w:val="21"/>
              </w:rPr>
              <w:t>合同有效期</w:t>
            </w: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400" w:lineRule="exact"/>
              <w:jc w:val="center"/>
              <w:rPr>
                <w:szCs w:val="21"/>
              </w:rPr>
            </w:pPr>
            <w:r>
              <w:rPr>
                <w:szCs w:val="21"/>
              </w:rPr>
              <w:t>电梯名称</w:t>
            </w: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400" w:lineRule="exact"/>
              <w:jc w:val="center"/>
              <w:rPr>
                <w:szCs w:val="21"/>
              </w:rPr>
            </w:pPr>
            <w:r>
              <w:rPr>
                <w:szCs w:val="21"/>
              </w:rPr>
              <w:t>台数</w:t>
            </w: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400" w:lineRule="exact"/>
              <w:jc w:val="center"/>
              <w:rPr>
                <w:szCs w:val="21"/>
              </w:rPr>
            </w:pPr>
            <w:r>
              <w:rPr>
                <w:szCs w:val="21"/>
              </w:rPr>
              <w:t>最高层站</w:t>
            </w: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400" w:lineRule="exact"/>
              <w:jc w:val="center"/>
              <w:rPr>
                <w:szCs w:val="21"/>
              </w:rPr>
            </w:pPr>
            <w:r>
              <w:rPr>
                <w:szCs w:val="21"/>
              </w:rPr>
              <w:t>联系人</w:t>
            </w: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400" w:lineRule="exact"/>
              <w:jc w:val="center"/>
              <w:rPr>
                <w:szCs w:val="21"/>
              </w:rPr>
            </w:pPr>
            <w:r>
              <w:rPr>
                <w:szCs w:val="21"/>
              </w:rPr>
              <w:t>联系电话</w:t>
            </w: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pPr>
            <w:r>
              <w:t xml:space="preserve">    </w:t>
            </w: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375"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r>
        <w:tblPrEx>
          <w:tblCellMar>
            <w:top w:w="0" w:type="dxa"/>
            <w:left w:w="108" w:type="dxa"/>
            <w:bottom w:w="0" w:type="dxa"/>
            <w:right w:w="108" w:type="dxa"/>
          </w:tblCellMar>
        </w:tblPrEx>
        <w:trPr>
          <w:trHeight w:val="101" w:hRule="atLeast"/>
        </w:trPr>
        <w:tc>
          <w:tcPr>
            <w:tcW w:w="647"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441" w:type="dxa"/>
            <w:tcBorders>
              <w:top w:val="single" w:color="auto" w:sz="4" w:space="0"/>
              <w:left w:val="single" w:color="auto" w:sz="4" w:space="0"/>
              <w:bottom w:val="single" w:color="auto" w:sz="4" w:space="0"/>
              <w:right w:val="single" w:color="auto" w:sz="4" w:space="0"/>
            </w:tcBorders>
            <w:vAlign w:val="center"/>
          </w:tcPr>
          <w:p>
            <w:pPr>
              <w:pStyle w:val="4"/>
              <w:snapToGrid w:val="0"/>
              <w:spacing w:line="380" w:lineRule="exact"/>
              <w:jc w:val="center"/>
            </w:pPr>
          </w:p>
        </w:tc>
        <w:tc>
          <w:tcPr>
            <w:tcW w:w="1260"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719"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141" w:type="dxa"/>
            <w:gridSpan w:val="2"/>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026"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c>
          <w:tcPr>
            <w:tcW w:w="1914" w:type="dxa"/>
            <w:tcBorders>
              <w:top w:val="single" w:color="auto" w:sz="4" w:space="0"/>
              <w:left w:val="single" w:color="auto" w:sz="4" w:space="0"/>
              <w:bottom w:val="single" w:color="auto" w:sz="4" w:space="0"/>
              <w:right w:val="single" w:color="auto" w:sz="4" w:space="0"/>
            </w:tcBorders>
          </w:tcPr>
          <w:p>
            <w:pPr>
              <w:pStyle w:val="4"/>
              <w:snapToGrid w:val="0"/>
              <w:spacing w:line="380" w:lineRule="exact"/>
              <w:jc w:val="center"/>
            </w:pPr>
          </w:p>
        </w:tc>
      </w:tr>
    </w:tbl>
    <w:p>
      <w:pPr>
        <w:pStyle w:val="4"/>
        <w:snapToGrid w:val="0"/>
        <w:spacing w:line="440" w:lineRule="exact"/>
        <w:rPr>
          <w:szCs w:val="21"/>
        </w:rPr>
      </w:pPr>
      <w:r>
        <w:rPr>
          <w:szCs w:val="21"/>
        </w:rPr>
        <w:t>注：电梯须填写最高层站数，须附相应业绩合同。</w:t>
      </w:r>
    </w:p>
    <w:p>
      <w:pPr>
        <w:rPr>
          <w:rFonts w:ascii="楷体_GB2312" w:hAnsi="宋体" w:eastAsia="楷体_GB2312"/>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r>
        <w:rPr>
          <w:b/>
          <w:sz w:val="30"/>
          <w:szCs w:val="30"/>
        </w:rPr>
        <w:t>附表：</w:t>
      </w:r>
      <w:r>
        <w:rPr>
          <w:rFonts w:hint="eastAsia"/>
          <w:b/>
          <w:sz w:val="30"/>
          <w:szCs w:val="30"/>
        </w:rPr>
        <w:t>2</w:t>
      </w:r>
    </w:p>
    <w:p>
      <w:pPr>
        <w:autoSpaceDE w:val="0"/>
        <w:autoSpaceDN w:val="0"/>
        <w:adjustRightInd w:val="0"/>
        <w:jc w:val="center"/>
        <w:rPr>
          <w:rFonts w:ascii="宋体" w:hAnsi="Verdana" w:cs="宋体"/>
          <w:b/>
          <w:color w:val="000000"/>
          <w:kern w:val="0"/>
          <w:sz w:val="24"/>
          <w:lang w:val="zh-CN"/>
        </w:rPr>
      </w:pPr>
      <w:r>
        <w:rPr>
          <w:rFonts w:ascii="Verdana" w:hAnsi="Verdana" w:cs="Verdana"/>
          <w:color w:val="000000"/>
          <w:kern w:val="0"/>
          <w:sz w:val="24"/>
        </w:rPr>
        <w:t> </w:t>
      </w:r>
      <w:r>
        <w:rPr>
          <w:rFonts w:hint="eastAsia" w:ascii="宋体" w:hAnsi="Verdana" w:cs="宋体"/>
          <w:b/>
          <w:color w:val="000000"/>
          <w:kern w:val="0"/>
          <w:sz w:val="24"/>
          <w:lang w:val="zh-CN"/>
        </w:rPr>
        <w:t>维保项目（内容）和要求</w:t>
      </w:r>
    </w:p>
    <w:p>
      <w:pPr>
        <w:autoSpaceDE w:val="0"/>
        <w:autoSpaceDN w:val="0"/>
        <w:adjustRightInd w:val="0"/>
        <w:jc w:val="center"/>
        <w:rPr>
          <w:rFonts w:ascii="Verdana" w:hAnsi="Verdana" w:cs="Verdana"/>
          <w:color w:val="000000"/>
          <w:kern w:val="0"/>
          <w:sz w:val="18"/>
          <w:szCs w:val="18"/>
        </w:rPr>
      </w:pPr>
    </w:p>
    <w:tbl>
      <w:tblPr>
        <w:tblStyle w:val="7"/>
        <w:tblW w:w="0" w:type="auto"/>
        <w:tblInd w:w="0" w:type="dxa"/>
        <w:tblLayout w:type="fixed"/>
        <w:tblCellMar>
          <w:top w:w="0" w:type="dxa"/>
          <w:left w:w="10" w:type="dxa"/>
          <w:bottom w:w="0" w:type="dxa"/>
          <w:right w:w="10" w:type="dxa"/>
        </w:tblCellMar>
      </w:tblPr>
      <w:tblGrid>
        <w:gridCol w:w="720"/>
        <w:gridCol w:w="4500"/>
        <w:gridCol w:w="4320"/>
      </w:tblGrid>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hAnsi="Verdana" w:cs="宋体"/>
                <w:color w:val="000000"/>
                <w:kern w:val="0"/>
                <w:sz w:val="24"/>
                <w:lang w:val="zh-CN"/>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维保项目（内容）</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维保基本要求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机房、滑轮间环境</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清洁，门窗完好、照明正常</w:t>
            </w:r>
            <w:r>
              <w:rPr>
                <w:rFonts w:ascii="Verdana" w:hAnsi="Verdana" w:cs="Verdana"/>
                <w:color w:val="000000"/>
                <w:kern w:val="0"/>
                <w:sz w:val="24"/>
              </w:rPr>
              <w:t xml:space="preserve"> </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手动紧急操作装置</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齐全，在指定位置</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3</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曳引机</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运行时无异常振动和异常声响</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4</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制动器各销轴部位</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润滑，动作灵活</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5</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制动器间隙</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打开时制动衬与制动轮不应发生摩擦</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6</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编码器</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清洁，安装牢固</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7</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限速器各销轴部位</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润滑，转动灵活；电气开关正常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8</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轿顶</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清洁，防护拦安全可靠</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9</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轿顶检修开关、急停开关</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10</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导靴上油杯</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吸油毛毡齐全，油量适宜，油杯无泄漏</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11</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对重块及其压板</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对重块无松动，压板紧固。</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12</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井道照明</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齐全、正常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13</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color w:val="000000"/>
                <w:kern w:val="0"/>
                <w:sz w:val="24"/>
              </w:rPr>
            </w:pPr>
            <w:r>
              <w:rPr>
                <w:rFonts w:hint="eastAsia" w:ascii="宋体" w:cs="宋体"/>
                <w:color w:val="000000"/>
                <w:kern w:val="0"/>
                <w:sz w:val="24"/>
                <w:lang w:val="zh-CN"/>
              </w:rPr>
              <w:t>轿厢照明、风扇、应急照明</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14</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轿厢检修开关、急停开关</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15</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轿内报警装置、对讲系统</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16</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轿内显示、指令按钮</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齐全、有效</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17</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轿门安全装置（安全触板，光幕、光电等）</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功能有效</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18</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轿门门锁电气触点</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w:t>
            </w:r>
            <w:r>
              <w:rPr>
                <w:rFonts w:ascii="Verdana" w:hAnsi="Verdana" w:cs="Verdana"/>
                <w:color w:val="000000"/>
                <w:kern w:val="0"/>
                <w:sz w:val="24"/>
              </w:rPr>
              <w:t xml:space="preserve">, </w:t>
            </w:r>
            <w:r>
              <w:rPr>
                <w:rFonts w:hint="eastAsia" w:ascii="宋体" w:hAnsi="Verdana" w:cs="宋体"/>
                <w:color w:val="000000"/>
                <w:kern w:val="0"/>
                <w:sz w:val="24"/>
                <w:lang w:val="zh-CN"/>
              </w:rPr>
              <w:t>触点接触良好，接线可靠</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19</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轿门运行</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开启和关闭工作正常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20</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轿厢平层精度</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符合标准</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21</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层站召唤、层楼显示</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齐全、有效</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22</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层门地坎</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23</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层门自动关门装置</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24</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层门门锁自动复位</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用层门钥匙打开手动开锁装置释放后，层门门锁能自动复位</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25</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层门门锁电气触点</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w:t>
            </w:r>
            <w:r>
              <w:rPr>
                <w:rFonts w:ascii="Verdana" w:hAnsi="Verdana" w:cs="Verdana"/>
                <w:color w:val="000000"/>
                <w:kern w:val="0"/>
                <w:sz w:val="24"/>
              </w:rPr>
              <w:t xml:space="preserve">, </w:t>
            </w:r>
            <w:r>
              <w:rPr>
                <w:rFonts w:hint="eastAsia" w:ascii="宋体" w:hAnsi="Verdana" w:cs="宋体"/>
                <w:color w:val="000000"/>
                <w:kern w:val="0"/>
                <w:sz w:val="24"/>
                <w:lang w:val="zh-CN"/>
              </w:rPr>
              <w:t>触点接触良好，接线可靠</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26</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层门锁紧元件啮合长度</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不小于</w:t>
            </w:r>
            <w:r>
              <w:rPr>
                <w:rFonts w:ascii="Verdana" w:hAnsi="Verdana" w:cs="Verdana"/>
                <w:color w:val="000000"/>
                <w:kern w:val="0"/>
                <w:sz w:val="24"/>
              </w:rPr>
              <w:t>7mm</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27</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底坑环境</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清洁，无渗水、积水，照明正常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28</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底坑急停开关</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bl>
    <w:p>
      <w:pPr>
        <w:rPr>
          <w:rFonts w:ascii="楷体_GB2312" w:hAnsi="宋体" w:eastAsia="楷体_GB2312"/>
          <w:sz w:val="30"/>
          <w:szCs w:val="30"/>
        </w:rPr>
      </w:pPr>
    </w:p>
    <w:p>
      <w:pPr>
        <w:rPr>
          <w:rFonts w:ascii="楷体_GB2312" w:hAnsi="宋体" w:eastAsia="楷体_GB2312"/>
          <w:sz w:val="30"/>
          <w:szCs w:val="30"/>
        </w:rPr>
      </w:pPr>
    </w:p>
    <w:p>
      <w:pPr>
        <w:rPr>
          <w:rFonts w:ascii="楷体_GB2312" w:hAnsi="宋体" w:eastAsia="楷体_GB2312"/>
          <w:sz w:val="30"/>
          <w:szCs w:val="30"/>
        </w:rPr>
      </w:pPr>
    </w:p>
    <w:p>
      <w:pPr>
        <w:rPr>
          <w:rFonts w:ascii="楷体_GB2312" w:hAnsi="宋体" w:eastAsia="楷体_GB2312"/>
          <w:sz w:val="30"/>
          <w:szCs w:val="30"/>
        </w:rPr>
      </w:pPr>
    </w:p>
    <w:p>
      <w:pPr>
        <w:rPr>
          <w:rFonts w:ascii="楷体_GB2312" w:hAnsi="宋体" w:eastAsia="楷体_GB2312"/>
          <w:sz w:val="30"/>
          <w:szCs w:val="30"/>
        </w:rPr>
      </w:pPr>
    </w:p>
    <w:p>
      <w:pPr>
        <w:pStyle w:val="4"/>
        <w:snapToGrid w:val="0"/>
        <w:spacing w:line="440" w:lineRule="exact"/>
        <w:rPr>
          <w:b/>
          <w:sz w:val="30"/>
          <w:szCs w:val="30"/>
        </w:rPr>
      </w:pPr>
      <w:r>
        <w:rPr>
          <w:b/>
          <w:sz w:val="30"/>
          <w:szCs w:val="30"/>
        </w:rPr>
        <w:t>附表：</w:t>
      </w:r>
      <w:r>
        <w:rPr>
          <w:rFonts w:hint="eastAsia"/>
          <w:b/>
          <w:sz w:val="30"/>
          <w:szCs w:val="30"/>
        </w:rPr>
        <w:t>3</w:t>
      </w:r>
    </w:p>
    <w:p>
      <w:pPr>
        <w:jc w:val="center"/>
        <w:rPr>
          <w:rFonts w:ascii="宋体" w:hAnsi="宋体"/>
          <w:b/>
          <w:sz w:val="24"/>
        </w:rPr>
      </w:pPr>
      <w:r>
        <w:rPr>
          <w:rFonts w:hint="eastAsia" w:ascii="宋体" w:hAnsi="宋体"/>
          <w:b/>
          <w:sz w:val="24"/>
        </w:rPr>
        <w:t>季度维保项目（内容）和要求</w:t>
      </w:r>
    </w:p>
    <w:p>
      <w:pPr>
        <w:rPr>
          <w:rFonts w:ascii="宋体" w:hAnsi="宋体"/>
          <w:sz w:val="24"/>
        </w:rPr>
      </w:pPr>
    </w:p>
    <w:tbl>
      <w:tblPr>
        <w:tblStyle w:val="7"/>
        <w:tblW w:w="0" w:type="auto"/>
        <w:tblInd w:w="-707" w:type="dxa"/>
        <w:tblLayout w:type="fixed"/>
        <w:tblCellMar>
          <w:top w:w="0" w:type="dxa"/>
          <w:left w:w="10" w:type="dxa"/>
          <w:bottom w:w="0" w:type="dxa"/>
          <w:right w:w="10" w:type="dxa"/>
        </w:tblCellMar>
      </w:tblPr>
      <w:tblGrid>
        <w:gridCol w:w="720"/>
        <w:gridCol w:w="4500"/>
        <w:gridCol w:w="5217"/>
      </w:tblGrid>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hAnsi="Verdana" w:cs="宋体"/>
                <w:color w:val="000000"/>
                <w:kern w:val="0"/>
                <w:sz w:val="24"/>
                <w:lang w:val="zh-CN"/>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维保项目（内容）</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维保基本要求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减速机润滑油</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油量适宜，除蜗杆伸出端外均无渗漏</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制动衬</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清洁，磨损量不超过制造单位要求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3</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位置脉冲发生器</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4</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选层器动静触点</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清洁，无烧蚀</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5</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曳引轮槽、曳引钢丝绳</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清洁，无严重油腻，张力均匀</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6</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限速器轮槽、限速器钢丝绳</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清洁，无严重油腻</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7</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靴衬、滚轮</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清洁，磨损量不超过制造单位要求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8</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验证轿门关闭的电气安全装置</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9</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层门、轿门系统中传动钢丝绳、链条、胶带</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按照制造单位要求进行清洁、调整</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10</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层门门导靴</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磨损量不超过制造单位要求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11</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消防开关</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工作正常，功能有效</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12</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耗能缓冲器</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电气安全装置功能有效，油量适宜，柱塞无锈蚀</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13</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限速器张紧轮装置和电气安全装置</w:t>
            </w:r>
          </w:p>
        </w:tc>
        <w:tc>
          <w:tcPr>
            <w:tcW w:w="5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bl>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bookmarkStart w:id="8" w:name="_GoBack"/>
      <w:bookmarkEnd w:id="8"/>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b/>
          <w:sz w:val="30"/>
          <w:szCs w:val="30"/>
        </w:rPr>
      </w:pPr>
      <w:r>
        <w:rPr>
          <w:b/>
          <w:sz w:val="30"/>
          <w:szCs w:val="30"/>
        </w:rPr>
        <w:t>附表：</w:t>
      </w:r>
      <w:r>
        <w:rPr>
          <w:rFonts w:hint="eastAsia"/>
          <w:b/>
          <w:sz w:val="30"/>
          <w:szCs w:val="30"/>
        </w:rPr>
        <w:t>4</w:t>
      </w:r>
    </w:p>
    <w:p>
      <w:pPr>
        <w:autoSpaceDE w:val="0"/>
        <w:autoSpaceDN w:val="0"/>
        <w:adjustRightInd w:val="0"/>
        <w:jc w:val="center"/>
        <w:rPr>
          <w:rFonts w:ascii="宋体" w:hAnsi="Verdana" w:cs="宋体"/>
          <w:b/>
          <w:color w:val="000000"/>
          <w:kern w:val="0"/>
          <w:sz w:val="24"/>
          <w:lang w:val="zh-CN"/>
        </w:rPr>
      </w:pPr>
      <w:r>
        <w:rPr>
          <w:rFonts w:hint="eastAsia" w:ascii="宋体" w:hAnsi="Verdana" w:cs="宋体"/>
          <w:b/>
          <w:color w:val="000000"/>
          <w:kern w:val="0"/>
          <w:sz w:val="24"/>
          <w:lang w:val="zh-CN"/>
        </w:rPr>
        <w:t>半年维保项目（内容）和要求</w:t>
      </w:r>
    </w:p>
    <w:tbl>
      <w:tblPr>
        <w:tblStyle w:val="7"/>
        <w:tblpPr w:leftFromText="180" w:rightFromText="180" w:vertAnchor="text" w:horzAnchor="margin" w:tblpXSpec="center" w:tblpY="220"/>
        <w:tblW w:w="0" w:type="auto"/>
        <w:tblInd w:w="0" w:type="dxa"/>
        <w:tblLayout w:type="fixed"/>
        <w:tblCellMar>
          <w:top w:w="0" w:type="dxa"/>
          <w:left w:w="10" w:type="dxa"/>
          <w:bottom w:w="0" w:type="dxa"/>
          <w:right w:w="10" w:type="dxa"/>
        </w:tblCellMar>
      </w:tblPr>
      <w:tblGrid>
        <w:gridCol w:w="720"/>
        <w:gridCol w:w="4500"/>
        <w:gridCol w:w="4320"/>
      </w:tblGrid>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hAnsi="Verdana" w:cs="宋体"/>
                <w:color w:val="000000"/>
                <w:kern w:val="0"/>
                <w:sz w:val="24"/>
                <w:lang w:val="zh-CN"/>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维保项目（内容）</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维保基本要求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电动机与减速机联轴器螺栓</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无松动</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曳引轮、导向轮轴承部</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无异常声，无振动，润滑良好</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3</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曳引轮槽</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磨损量不超过制造单位要求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4</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制动器上检测开关</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工作正常，制动器动作可靠</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5</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控制柜内各接线端子</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各接线紧固、整齐，线号齐全清晰</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6</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控制柜各仪表</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显示正确</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7</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井道、对重、轿顶各反绳轮轴承部</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无异常声，无振动，润滑良好</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8</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曳引绳、补偿绳</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磨损量、断丝数不超过要求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9</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曳引绳绳头组合</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螺母无松动</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10</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限速器钢丝绳</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磨损量、断丝数不超过制造单位要求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11</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层门、轿门门扇</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门扇各相关间隙符合标准</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12</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对重缓冲距</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符合标准</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13</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补偿链（绳）与轿厢、对重接合处</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固定、无松动</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14</w:t>
            </w:r>
          </w:p>
        </w:tc>
        <w:tc>
          <w:tcPr>
            <w:tcW w:w="45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上下极限开关</w:t>
            </w:r>
          </w:p>
        </w:tc>
        <w:tc>
          <w:tcPr>
            <w:tcW w:w="4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bl>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pStyle w:val="4"/>
        <w:snapToGrid w:val="0"/>
        <w:spacing w:line="440" w:lineRule="exact"/>
        <w:rPr>
          <w:b/>
          <w:sz w:val="30"/>
          <w:szCs w:val="30"/>
        </w:rPr>
      </w:pPr>
      <w:r>
        <w:rPr>
          <w:b/>
          <w:sz w:val="30"/>
          <w:szCs w:val="30"/>
        </w:rPr>
        <w:t>附表：</w:t>
      </w:r>
      <w:r>
        <w:rPr>
          <w:rFonts w:hint="eastAsia"/>
          <w:b/>
          <w:sz w:val="30"/>
          <w:szCs w:val="30"/>
        </w:rPr>
        <w:t>5</w:t>
      </w:r>
    </w:p>
    <w:p>
      <w:pPr>
        <w:autoSpaceDE w:val="0"/>
        <w:autoSpaceDN w:val="0"/>
        <w:adjustRightInd w:val="0"/>
        <w:jc w:val="center"/>
        <w:rPr>
          <w:rFonts w:ascii="宋体" w:hAnsi="Verdana" w:cs="宋体"/>
          <w:b/>
          <w:color w:val="000000"/>
          <w:kern w:val="0"/>
          <w:sz w:val="24"/>
          <w:lang w:val="zh-CN"/>
        </w:rPr>
      </w:pPr>
      <w:r>
        <w:rPr>
          <w:rFonts w:hint="eastAsia" w:ascii="宋体" w:hAnsi="Verdana" w:cs="宋体"/>
          <w:b/>
          <w:color w:val="000000"/>
          <w:kern w:val="0"/>
          <w:sz w:val="24"/>
          <w:lang w:val="zh-CN"/>
        </w:rPr>
        <w:t>年度维保项目（内容）和要求</w:t>
      </w:r>
    </w:p>
    <w:p>
      <w:pPr>
        <w:autoSpaceDE w:val="0"/>
        <w:autoSpaceDN w:val="0"/>
        <w:adjustRightInd w:val="0"/>
        <w:jc w:val="center"/>
        <w:rPr>
          <w:rFonts w:ascii="Verdana" w:hAnsi="Verdana" w:cs="Verdana"/>
          <w:color w:val="000000"/>
          <w:kern w:val="0"/>
          <w:sz w:val="24"/>
        </w:rPr>
      </w:pPr>
    </w:p>
    <w:tbl>
      <w:tblPr>
        <w:tblStyle w:val="7"/>
        <w:tblW w:w="0" w:type="auto"/>
        <w:tblInd w:w="-610" w:type="dxa"/>
        <w:tblLayout w:type="fixed"/>
        <w:tblCellMar>
          <w:top w:w="0" w:type="dxa"/>
          <w:left w:w="10" w:type="dxa"/>
          <w:bottom w:w="0" w:type="dxa"/>
          <w:right w:w="10" w:type="dxa"/>
        </w:tblCellMar>
      </w:tblPr>
      <w:tblGrid>
        <w:gridCol w:w="720"/>
        <w:gridCol w:w="4220"/>
        <w:gridCol w:w="5040"/>
      </w:tblGrid>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hAnsi="Verdana" w:cs="宋体"/>
                <w:color w:val="000000"/>
                <w:kern w:val="0"/>
                <w:sz w:val="24"/>
                <w:lang w:val="zh-CN"/>
              </w:rPr>
              <w:t>序号</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维保项目（内容）</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kern w:val="0"/>
                <w:sz w:val="24"/>
              </w:rPr>
            </w:pPr>
            <w:r>
              <w:rPr>
                <w:rFonts w:hint="eastAsia" w:ascii="宋体" w:cs="宋体"/>
                <w:color w:val="000000"/>
                <w:kern w:val="0"/>
                <w:sz w:val="24"/>
                <w:lang w:val="zh-CN"/>
              </w:rPr>
              <w:t>维保基本要求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减速机润滑油</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按照制造单位要求适时更换，保证油质符合要求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2</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控制柜接触器，继电器触点</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接触良好</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3</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制动器铁芯（柱塞）</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进行清洁、润滑、检查，磨损量不超过制造单位要求</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4</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制动器制动弹簧压缩量</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符合制造单位要求，保持有足够的制动力</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5</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导电回路绝缘性能测试</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符合标准</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6</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限速器安全钳联动试验（每</w:t>
            </w:r>
            <w:r>
              <w:rPr>
                <w:rFonts w:ascii="Verdana" w:hAnsi="Verdana" w:cs="Verdana"/>
                <w:color w:val="000000"/>
                <w:kern w:val="0"/>
                <w:sz w:val="24"/>
              </w:rPr>
              <w:t>2</w:t>
            </w:r>
            <w:r>
              <w:rPr>
                <w:rFonts w:hint="eastAsia" w:ascii="宋体" w:hAnsi="Verdana" w:cs="宋体"/>
                <w:color w:val="000000"/>
                <w:kern w:val="0"/>
                <w:sz w:val="24"/>
                <w:lang w:val="zh-CN"/>
              </w:rPr>
              <w:t>年进行一次限速器动作速度校验）</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7</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上行超速保护装置动作试验</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工作正常</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8</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轿顶、轿厢架、轿门及其附件安装螺栓</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紧固</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9</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轿厢和对重的导轨支架</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固定，无松动</w:t>
            </w:r>
            <w:r>
              <w:rPr>
                <w:rFonts w:ascii="Verdana" w:hAnsi="Verdana" w:cs="Verdana"/>
                <w:color w:val="000000"/>
                <w:kern w:val="0"/>
                <w:sz w:val="24"/>
              </w:rPr>
              <w:t xml:space="preserve"> </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10</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轿厢和对重的导轨</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清洁，压板牢固</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11</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随行电缆</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无损伤</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12</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层门装置和地坎</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无影响正常使用的变形，各安装螺栓紧固</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13</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轿厢称重装置</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准确有效</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14</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安全钳钳座</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固定，无松动</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15</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轿底各安装螺栓</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紧固</w:t>
            </w:r>
          </w:p>
        </w:tc>
      </w:tr>
      <w:tr>
        <w:tblPrEx>
          <w:tblCellMar>
            <w:top w:w="0" w:type="dxa"/>
            <w:left w:w="10" w:type="dxa"/>
            <w:bottom w:w="0" w:type="dxa"/>
            <w:right w:w="10"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Verdana" w:hAnsi="Verdana" w:cs="Verdana"/>
                <w:color w:val="000000"/>
                <w:kern w:val="0"/>
                <w:sz w:val="24"/>
              </w:rPr>
            </w:pPr>
            <w:r>
              <w:rPr>
                <w:rFonts w:ascii="Verdana" w:hAnsi="Verdana" w:cs="Verdana"/>
                <w:color w:val="000000"/>
                <w:kern w:val="0"/>
                <w:sz w:val="24"/>
              </w:rPr>
              <w:t>16</w:t>
            </w:r>
          </w:p>
        </w:tc>
        <w:tc>
          <w:tcPr>
            <w:tcW w:w="42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缓冲器</w:t>
            </w:r>
          </w:p>
        </w:tc>
        <w:tc>
          <w:tcPr>
            <w:tcW w:w="5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固定，无松动</w:t>
            </w:r>
          </w:p>
        </w:tc>
      </w:tr>
    </w:tbl>
    <w:p>
      <w:pPr>
        <w:autoSpaceDE w:val="0"/>
        <w:autoSpaceDN w:val="0"/>
        <w:adjustRightInd w:val="0"/>
        <w:jc w:val="right"/>
        <w:rPr>
          <w:rFonts w:ascii="Verdana" w:hAnsi="Verdana" w:cs="Verdana"/>
          <w:color w:val="000000"/>
          <w:kern w:val="0"/>
          <w:sz w:val="24"/>
        </w:rPr>
      </w:pPr>
      <w:r>
        <w:rPr>
          <w:rFonts w:ascii="Verdana" w:hAnsi="Verdana" w:cs="Verdana"/>
          <w:color w:val="000000"/>
          <w:kern w:val="0"/>
          <w:sz w:val="24"/>
        </w:rPr>
        <w:t> </w:t>
      </w:r>
    </w:p>
    <w:p>
      <w:pPr>
        <w:autoSpaceDE w:val="0"/>
        <w:autoSpaceDN w:val="0"/>
        <w:adjustRightInd w:val="0"/>
        <w:jc w:val="right"/>
        <w:rPr>
          <w:rFonts w:ascii="Verdana" w:hAnsi="Verdana" w:cs="Verdana"/>
          <w:color w:val="000000"/>
          <w:kern w:val="0"/>
          <w:sz w:val="24"/>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jc w:val="left"/>
        <w:rPr>
          <w:rFonts w:ascii="宋体" w:hAnsi="Verdana" w:cs="宋体"/>
          <w:color w:val="000000"/>
          <w:kern w:val="0"/>
          <w:sz w:val="24"/>
          <w:lang w:val="zh-CN"/>
        </w:rPr>
      </w:pPr>
    </w:p>
    <w:p>
      <w:pPr>
        <w:pStyle w:val="4"/>
        <w:snapToGrid w:val="0"/>
        <w:spacing w:line="440" w:lineRule="exact"/>
        <w:rPr>
          <w:b/>
          <w:sz w:val="30"/>
          <w:szCs w:val="30"/>
        </w:rPr>
      </w:pPr>
      <w:r>
        <w:rPr>
          <w:b/>
          <w:sz w:val="30"/>
          <w:szCs w:val="30"/>
        </w:rPr>
        <w:t>附表：</w:t>
      </w:r>
      <w:r>
        <w:rPr>
          <w:rFonts w:hint="eastAsia"/>
          <w:b/>
          <w:sz w:val="30"/>
          <w:szCs w:val="30"/>
        </w:rPr>
        <w:t>6</w:t>
      </w:r>
    </w:p>
    <w:p>
      <w:pPr>
        <w:autoSpaceDE w:val="0"/>
        <w:autoSpaceDN w:val="0"/>
        <w:adjustRightInd w:val="0"/>
        <w:ind w:left="1050" w:hanging="1050" w:hangingChars="350"/>
        <w:jc w:val="center"/>
        <w:rPr>
          <w:rFonts w:ascii="宋体" w:hAnsi="Verdana" w:cs="宋体"/>
          <w:color w:val="000000"/>
          <w:kern w:val="0"/>
          <w:sz w:val="30"/>
          <w:szCs w:val="30"/>
        </w:rPr>
      </w:pPr>
    </w:p>
    <w:p>
      <w:pPr>
        <w:autoSpaceDE w:val="0"/>
        <w:autoSpaceDN w:val="0"/>
        <w:adjustRightInd w:val="0"/>
        <w:ind w:left="843" w:hanging="843" w:hangingChars="350"/>
        <w:jc w:val="center"/>
        <w:rPr>
          <w:rFonts w:ascii="宋体" w:hAnsi="Verdana" w:cs="宋体"/>
          <w:b/>
          <w:bCs/>
          <w:color w:val="000000"/>
          <w:kern w:val="0"/>
          <w:sz w:val="24"/>
        </w:rPr>
      </w:pPr>
      <w:r>
        <w:rPr>
          <w:rFonts w:hint="eastAsia" w:ascii="宋体" w:hAnsi="Verdana" w:cs="宋体"/>
          <w:b/>
          <w:bCs/>
          <w:color w:val="000000"/>
          <w:kern w:val="0"/>
          <w:sz w:val="24"/>
        </w:rPr>
        <w:t>200元以下免费配件详情</w:t>
      </w:r>
    </w:p>
    <w:p>
      <w:pPr>
        <w:autoSpaceDE w:val="0"/>
        <w:autoSpaceDN w:val="0"/>
        <w:adjustRightInd w:val="0"/>
        <w:ind w:left="843" w:hanging="843" w:hangingChars="350"/>
        <w:jc w:val="center"/>
        <w:rPr>
          <w:rFonts w:ascii="宋体" w:hAnsi="Verdana" w:cs="宋体"/>
          <w:b/>
          <w:bCs/>
          <w:color w:val="000000"/>
          <w:kern w:val="0"/>
          <w:sz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3165"/>
        <w:gridCol w:w="1110"/>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序号</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名称</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序号</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开关电源</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18</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极限开关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相序继电器</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19</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抱闸检测开关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3</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保险管</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20</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操纵箱锁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4</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整流板</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21</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控制柜锁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5</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五方通话电源</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22</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船型开关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6</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双稳态开关</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23</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轿内LED灯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7</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电源锁</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24</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井道照明灯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8</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外呼按钮</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25</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层门滑块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9</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轿内按钮</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26</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轿厢导靴靴寸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10</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检修按钮</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27</w:t>
            </w:r>
          </w:p>
        </w:tc>
        <w:tc>
          <w:tcPr>
            <w:tcW w:w="2941" w:type="dxa"/>
          </w:tcPr>
          <w:p>
            <w:pPr>
              <w:autoSpaceDE w:val="0"/>
              <w:autoSpaceDN w:val="0"/>
              <w:adjustRightInd w:val="0"/>
              <w:jc w:val="center"/>
              <w:rPr>
                <w:rFonts w:ascii="宋体" w:hAnsi="Verdana" w:cs="宋体"/>
                <w:b/>
                <w:bCs/>
                <w:color w:val="000000"/>
                <w:kern w:val="0"/>
                <w:sz w:val="24"/>
              </w:rPr>
            </w:pPr>
            <w:r>
              <w:rPr>
                <w:rFonts w:hint="eastAsia" w:ascii="宋体" w:hAnsi="Verdana" w:cs="宋体"/>
                <w:color w:val="000000"/>
                <w:kern w:val="0"/>
                <w:sz w:val="24"/>
              </w:rPr>
              <w:t>对重导靴靴寸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11</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检修转换开关</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28</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油杯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12</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急停开关</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29</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门机皮带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13</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急停防护盒</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30</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层门偏心轮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14</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层门连锁触点开关</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31</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三角锁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15</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涨紧轮开关</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32</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轿内应急灯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16</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缓冲器开关</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33</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机油，润滑油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17</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减速开关</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34</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柴油，黄油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6"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18</w:t>
            </w:r>
          </w:p>
        </w:tc>
        <w:tc>
          <w:tcPr>
            <w:tcW w:w="3165"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轿厢照明</w:t>
            </w:r>
          </w:p>
        </w:tc>
        <w:tc>
          <w:tcPr>
            <w:tcW w:w="1110"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35</w:t>
            </w:r>
          </w:p>
        </w:tc>
        <w:tc>
          <w:tcPr>
            <w:tcW w:w="2941" w:type="dxa"/>
          </w:tcPr>
          <w:p>
            <w:pPr>
              <w:autoSpaceDE w:val="0"/>
              <w:autoSpaceDN w:val="0"/>
              <w:adjustRightInd w:val="0"/>
              <w:jc w:val="center"/>
              <w:rPr>
                <w:rFonts w:ascii="宋体" w:hAnsi="Verdana" w:cs="宋体"/>
                <w:color w:val="000000"/>
                <w:kern w:val="0"/>
                <w:sz w:val="24"/>
              </w:rPr>
            </w:pPr>
            <w:r>
              <w:rPr>
                <w:rFonts w:hint="eastAsia" w:ascii="宋体" w:hAnsi="Verdana" w:cs="宋体"/>
                <w:color w:val="000000"/>
                <w:kern w:val="0"/>
                <w:sz w:val="24"/>
              </w:rPr>
              <w:t>井道照明</w:t>
            </w:r>
          </w:p>
        </w:tc>
      </w:tr>
    </w:tbl>
    <w:p>
      <w:pPr>
        <w:autoSpaceDE w:val="0"/>
        <w:autoSpaceDN w:val="0"/>
        <w:adjustRightInd w:val="0"/>
        <w:ind w:left="843" w:hanging="843" w:hangingChars="350"/>
        <w:rPr>
          <w:rFonts w:ascii="宋体" w:hAnsi="Verdana" w:cs="宋体"/>
          <w:b/>
          <w:bCs/>
          <w:color w:val="000000"/>
          <w:kern w:val="0"/>
          <w:sz w:val="24"/>
        </w:rPr>
      </w:pPr>
    </w:p>
    <w:p>
      <w:pPr>
        <w:autoSpaceDE w:val="0"/>
        <w:autoSpaceDN w:val="0"/>
        <w:adjustRightInd w:val="0"/>
        <w:ind w:left="840" w:hanging="840" w:hangingChars="350"/>
        <w:jc w:val="left"/>
        <w:rPr>
          <w:rFonts w:ascii="宋体" w:hAnsi="Verdana" w:cs="宋体"/>
          <w:color w:val="000000"/>
          <w:kern w:val="0"/>
          <w:sz w:val="24"/>
          <w:lang w:val="zh-CN"/>
        </w:rPr>
      </w:pPr>
    </w:p>
    <w:p>
      <w:pPr>
        <w:autoSpaceDE w:val="0"/>
        <w:autoSpaceDN w:val="0"/>
        <w:adjustRightInd w:val="0"/>
        <w:ind w:left="840" w:hanging="840" w:hangingChars="350"/>
        <w:jc w:val="left"/>
        <w:rPr>
          <w:rFonts w:ascii="宋体" w:hAnsi="Verdana" w:cs="宋体"/>
          <w:color w:val="000000"/>
          <w:kern w:val="0"/>
          <w:sz w:val="24"/>
          <w:lang w:val="zh-CN"/>
        </w:rPr>
      </w:pPr>
    </w:p>
    <w:p>
      <w:pPr>
        <w:pStyle w:val="4"/>
        <w:snapToGrid w:val="0"/>
        <w:spacing w:line="440" w:lineRule="exact"/>
        <w:rPr>
          <w:b/>
          <w:sz w:val="30"/>
          <w:szCs w:val="30"/>
        </w:rPr>
      </w:pPr>
    </w:p>
    <w:p>
      <w:pPr>
        <w:pStyle w:val="4"/>
        <w:snapToGrid w:val="0"/>
        <w:spacing w:line="440" w:lineRule="exact"/>
        <w:rPr>
          <w:b/>
          <w:sz w:val="30"/>
          <w:szCs w:val="30"/>
        </w:rPr>
      </w:pPr>
    </w:p>
    <w:p>
      <w:pPr>
        <w:pStyle w:val="4"/>
        <w:snapToGrid w:val="0"/>
        <w:spacing w:line="440" w:lineRule="exact"/>
        <w:rPr>
          <w:rFonts w:ascii="宋体" w:hAnsi="Verdana" w:cs="宋体"/>
          <w:color w:val="000000"/>
          <w:kern w:val="0"/>
          <w:sz w:val="24"/>
          <w:lang w:val="zh-CN"/>
        </w:rPr>
      </w:pPr>
      <w:r>
        <w:rPr>
          <w:b/>
          <w:sz w:val="30"/>
          <w:szCs w:val="30"/>
        </w:rPr>
        <w:t>附表：</w:t>
      </w:r>
      <w:r>
        <w:rPr>
          <w:rFonts w:hint="eastAsia"/>
          <w:b/>
          <w:sz w:val="30"/>
          <w:szCs w:val="30"/>
        </w:rPr>
        <w:t>7</w:t>
      </w:r>
    </w:p>
    <w:p>
      <w:pPr>
        <w:autoSpaceDE w:val="0"/>
        <w:autoSpaceDN w:val="0"/>
        <w:adjustRightInd w:val="0"/>
        <w:ind w:left="840" w:hanging="840" w:hangingChars="350"/>
        <w:jc w:val="left"/>
        <w:rPr>
          <w:rFonts w:ascii="宋体" w:hAnsi="Verdana" w:cs="宋体"/>
          <w:color w:val="000000"/>
          <w:kern w:val="0"/>
          <w:sz w:val="24"/>
          <w:lang w:val="zh-CN"/>
        </w:rPr>
      </w:pPr>
      <w:r>
        <w:rPr>
          <w:rFonts w:hint="eastAsia" w:ascii="宋体" w:hAnsi="Verdana" w:cs="宋体"/>
          <w:color w:val="000000"/>
          <w:kern w:val="0"/>
          <w:sz w:val="24"/>
          <w:lang w:val="zh-CN"/>
        </w:rPr>
        <w:t>2号楼电梯</w:t>
      </w:r>
    </w:p>
    <w:tbl>
      <w:tblPr>
        <w:tblStyle w:val="7"/>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2782"/>
        <w:gridCol w:w="1966"/>
        <w:gridCol w:w="1284"/>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序号</w:t>
            </w:r>
          </w:p>
        </w:tc>
        <w:tc>
          <w:tcPr>
            <w:tcW w:w="2782" w:type="dxa"/>
            <w:vAlign w:val="center"/>
          </w:tcPr>
          <w:p>
            <w:pPr>
              <w:jc w:val="center"/>
              <w:rPr>
                <w:rFonts w:ascii="宋体" w:hAnsi="宋体"/>
                <w:sz w:val="24"/>
              </w:rPr>
            </w:pPr>
            <w:r>
              <w:rPr>
                <w:rFonts w:hint="eastAsia" w:ascii="宋体" w:hAnsi="宋体"/>
                <w:sz w:val="24"/>
              </w:rPr>
              <w:t>名称</w:t>
            </w:r>
          </w:p>
        </w:tc>
        <w:tc>
          <w:tcPr>
            <w:tcW w:w="1966" w:type="dxa"/>
            <w:vAlign w:val="center"/>
          </w:tcPr>
          <w:p>
            <w:pPr>
              <w:tabs>
                <w:tab w:val="left" w:pos="477"/>
              </w:tabs>
              <w:jc w:val="left"/>
              <w:rPr>
                <w:rFonts w:ascii="宋体" w:hAnsi="宋体"/>
                <w:sz w:val="24"/>
              </w:rPr>
            </w:pPr>
            <w:r>
              <w:rPr>
                <w:rFonts w:hint="eastAsia" w:ascii="宋体" w:hAnsi="宋体"/>
                <w:sz w:val="24"/>
              </w:rPr>
              <w:tab/>
            </w:r>
            <w:r>
              <w:rPr>
                <w:rFonts w:hint="eastAsia" w:ascii="宋体" w:hAnsi="宋体"/>
                <w:sz w:val="24"/>
              </w:rPr>
              <w:t>型号</w:t>
            </w:r>
          </w:p>
        </w:tc>
        <w:tc>
          <w:tcPr>
            <w:tcW w:w="1284" w:type="dxa"/>
            <w:vAlign w:val="center"/>
          </w:tcPr>
          <w:p>
            <w:pPr>
              <w:jc w:val="center"/>
              <w:rPr>
                <w:rFonts w:ascii="宋体" w:hAnsi="宋体"/>
                <w:sz w:val="24"/>
              </w:rPr>
            </w:pPr>
            <w:r>
              <w:rPr>
                <w:rFonts w:hint="eastAsia" w:ascii="宋体" w:hAnsi="宋体"/>
                <w:sz w:val="24"/>
              </w:rPr>
              <w:t>单位</w:t>
            </w:r>
          </w:p>
        </w:tc>
        <w:tc>
          <w:tcPr>
            <w:tcW w:w="1615" w:type="dxa"/>
            <w:vAlign w:val="center"/>
          </w:tcPr>
          <w:p>
            <w:pPr>
              <w:jc w:val="center"/>
              <w:rPr>
                <w:rFonts w:ascii="宋体" w:hAnsi="宋体"/>
                <w:sz w:val="24"/>
              </w:rPr>
            </w:pPr>
            <w:r>
              <w:rPr>
                <w:rFonts w:hint="eastAsia" w:ascii="宋体" w:hAnsi="宋体"/>
                <w:sz w:val="24"/>
              </w:rPr>
              <w:t>单价（元）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820" w:type="dxa"/>
            <w:vAlign w:val="center"/>
          </w:tcPr>
          <w:p>
            <w:pPr>
              <w:jc w:val="center"/>
              <w:rPr>
                <w:rFonts w:ascii="宋体" w:hAnsi="宋体"/>
                <w:sz w:val="24"/>
              </w:rPr>
            </w:pPr>
            <w:r>
              <w:rPr>
                <w:rFonts w:hint="eastAsia" w:ascii="宋体" w:hAnsi="宋体"/>
                <w:sz w:val="24"/>
              </w:rPr>
              <w:t>1</w:t>
            </w:r>
          </w:p>
        </w:tc>
        <w:tc>
          <w:tcPr>
            <w:tcW w:w="2782" w:type="dxa"/>
            <w:vAlign w:val="center"/>
          </w:tcPr>
          <w:p>
            <w:pPr>
              <w:jc w:val="center"/>
              <w:rPr>
                <w:rFonts w:ascii="宋体" w:hAnsi="宋体"/>
                <w:sz w:val="24"/>
              </w:rPr>
            </w:pPr>
            <w:r>
              <w:rPr>
                <w:rFonts w:hint="eastAsia" w:ascii="宋体" w:hAnsi="宋体"/>
                <w:sz w:val="24"/>
              </w:rPr>
              <w:t>主机曳引轮</w:t>
            </w:r>
          </w:p>
        </w:tc>
        <w:tc>
          <w:tcPr>
            <w:tcW w:w="1966" w:type="dxa"/>
            <w:vAlign w:val="center"/>
          </w:tcPr>
          <w:p>
            <w:pPr>
              <w:jc w:val="center"/>
              <w:rPr>
                <w:rFonts w:ascii="宋体" w:hAnsi="宋体"/>
                <w:sz w:val="24"/>
              </w:rPr>
            </w:pPr>
          </w:p>
        </w:tc>
        <w:tc>
          <w:tcPr>
            <w:tcW w:w="1284" w:type="dxa"/>
            <w:vAlign w:val="center"/>
          </w:tcPr>
          <w:p>
            <w:pPr>
              <w:jc w:val="center"/>
              <w:rPr>
                <w:rFonts w:ascii="宋体" w:hAnsi="宋体"/>
                <w:sz w:val="24"/>
              </w:rPr>
            </w:pPr>
            <w:r>
              <w:rPr>
                <w:rFonts w:hint="eastAsia" w:ascii="宋体" w:hAnsi="宋体"/>
                <w:sz w:val="24"/>
              </w:rPr>
              <w:t>套</w:t>
            </w:r>
          </w:p>
        </w:tc>
        <w:tc>
          <w:tcPr>
            <w:tcW w:w="1615" w:type="dxa"/>
            <w:vAlign w:val="center"/>
          </w:tcPr>
          <w:p>
            <w:pPr>
              <w:jc w:val="center"/>
              <w:rPr>
                <w:rFonts w:ascii="宋体" w:hAnsi="宋体"/>
                <w:color w:val="FFFFFF" w:themeColor="background1"/>
                <w:sz w:val="24"/>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w:t>
            </w:r>
          </w:p>
        </w:tc>
        <w:tc>
          <w:tcPr>
            <w:tcW w:w="2782" w:type="dxa"/>
            <w:vAlign w:val="center"/>
          </w:tcPr>
          <w:p>
            <w:pPr>
              <w:jc w:val="center"/>
              <w:rPr>
                <w:rFonts w:ascii="宋体" w:hAnsi="宋体"/>
                <w:sz w:val="24"/>
              </w:rPr>
            </w:pPr>
            <w:r>
              <w:rPr>
                <w:rFonts w:hint="eastAsia" w:ascii="宋体" w:hAnsi="宋体"/>
                <w:sz w:val="24"/>
              </w:rPr>
              <w:t>主机导向轮</w:t>
            </w:r>
          </w:p>
        </w:tc>
        <w:tc>
          <w:tcPr>
            <w:tcW w:w="1966" w:type="dxa"/>
            <w:vAlign w:val="center"/>
          </w:tcPr>
          <w:p>
            <w:pPr>
              <w:jc w:val="center"/>
              <w:rPr>
                <w:rFonts w:ascii="宋体" w:hAnsi="宋体"/>
                <w:sz w:val="24"/>
              </w:rPr>
            </w:pPr>
          </w:p>
        </w:tc>
        <w:tc>
          <w:tcPr>
            <w:tcW w:w="1284" w:type="dxa"/>
            <w:vAlign w:val="center"/>
          </w:tcPr>
          <w:p>
            <w:pPr>
              <w:jc w:val="center"/>
              <w:rPr>
                <w:rFonts w:ascii="宋体" w:hAnsi="宋体"/>
                <w:sz w:val="24"/>
              </w:rPr>
            </w:pPr>
            <w:r>
              <w:rPr>
                <w:rFonts w:hint="eastAsia" w:ascii="宋体" w:hAnsi="宋体"/>
                <w:sz w:val="24"/>
              </w:rPr>
              <w:t>个</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3</w:t>
            </w:r>
          </w:p>
        </w:tc>
        <w:tc>
          <w:tcPr>
            <w:tcW w:w="2782" w:type="dxa"/>
            <w:vAlign w:val="center"/>
          </w:tcPr>
          <w:p>
            <w:pPr>
              <w:jc w:val="center"/>
              <w:rPr>
                <w:rFonts w:ascii="宋体" w:hAnsi="宋体"/>
                <w:sz w:val="24"/>
              </w:rPr>
            </w:pPr>
            <w:r>
              <w:rPr>
                <w:rFonts w:hint="eastAsia" w:ascii="宋体" w:hAnsi="宋体"/>
                <w:sz w:val="24"/>
              </w:rPr>
              <w:t>主机轴承（永磁同步）</w:t>
            </w:r>
          </w:p>
        </w:tc>
        <w:tc>
          <w:tcPr>
            <w:tcW w:w="1966" w:type="dxa"/>
            <w:vAlign w:val="center"/>
          </w:tcPr>
          <w:p>
            <w:pPr>
              <w:jc w:val="center"/>
              <w:rPr>
                <w:rFonts w:ascii="宋体" w:hAnsi="宋体"/>
                <w:sz w:val="24"/>
              </w:rPr>
            </w:pPr>
          </w:p>
        </w:tc>
        <w:tc>
          <w:tcPr>
            <w:tcW w:w="1284" w:type="dxa"/>
            <w:vAlign w:val="center"/>
          </w:tcPr>
          <w:p>
            <w:pPr>
              <w:jc w:val="center"/>
              <w:rPr>
                <w:rFonts w:ascii="宋体" w:hAnsi="宋体"/>
                <w:sz w:val="24"/>
              </w:rPr>
            </w:pPr>
            <w:r>
              <w:rPr>
                <w:rFonts w:hint="eastAsia" w:ascii="宋体" w:hAnsi="宋体"/>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4</w:t>
            </w:r>
          </w:p>
        </w:tc>
        <w:tc>
          <w:tcPr>
            <w:tcW w:w="2782" w:type="dxa"/>
            <w:vAlign w:val="center"/>
          </w:tcPr>
          <w:p>
            <w:pPr>
              <w:jc w:val="center"/>
              <w:rPr>
                <w:rFonts w:ascii="宋体" w:hAnsi="宋体"/>
                <w:sz w:val="24"/>
              </w:rPr>
            </w:pPr>
            <w:r>
              <w:rPr>
                <w:rFonts w:hint="eastAsia" w:ascii="宋体" w:hAnsi="宋体"/>
                <w:sz w:val="24"/>
              </w:rPr>
              <w:t>制动器</w:t>
            </w:r>
          </w:p>
        </w:tc>
        <w:tc>
          <w:tcPr>
            <w:tcW w:w="1966" w:type="dxa"/>
            <w:vAlign w:val="center"/>
          </w:tcPr>
          <w:p>
            <w:pPr>
              <w:jc w:val="center"/>
              <w:rPr>
                <w:rFonts w:ascii="宋体" w:hAnsi="宋体"/>
                <w:sz w:val="24"/>
              </w:rPr>
            </w:pPr>
          </w:p>
        </w:tc>
        <w:tc>
          <w:tcPr>
            <w:tcW w:w="1284" w:type="dxa"/>
            <w:vAlign w:val="center"/>
          </w:tcPr>
          <w:p>
            <w:pPr>
              <w:jc w:val="center"/>
              <w:rPr>
                <w:rFonts w:ascii="宋体" w:hAnsi="宋体"/>
                <w:sz w:val="24"/>
              </w:rPr>
            </w:pPr>
            <w:r>
              <w:rPr>
                <w:rFonts w:hint="eastAsia" w:ascii="宋体" w:hAnsi="宋体"/>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5</w:t>
            </w:r>
          </w:p>
        </w:tc>
        <w:tc>
          <w:tcPr>
            <w:tcW w:w="2782" w:type="dxa"/>
            <w:vAlign w:val="center"/>
          </w:tcPr>
          <w:p>
            <w:pPr>
              <w:jc w:val="center"/>
              <w:rPr>
                <w:rFonts w:ascii="宋体" w:hAnsi="宋体"/>
                <w:sz w:val="24"/>
              </w:rPr>
            </w:pPr>
            <w:r>
              <w:rPr>
                <w:rFonts w:hint="eastAsia" w:ascii="宋体" w:hAnsi="宋体"/>
                <w:sz w:val="24"/>
              </w:rPr>
              <w:t>对重反绳轮</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6</w:t>
            </w:r>
          </w:p>
        </w:tc>
        <w:tc>
          <w:tcPr>
            <w:tcW w:w="2782" w:type="dxa"/>
            <w:vAlign w:val="center"/>
          </w:tcPr>
          <w:p>
            <w:pPr>
              <w:jc w:val="center"/>
              <w:rPr>
                <w:rFonts w:ascii="宋体" w:hAnsi="宋体"/>
                <w:sz w:val="24"/>
              </w:rPr>
            </w:pPr>
            <w:r>
              <w:rPr>
                <w:rFonts w:hint="eastAsia" w:ascii="宋体" w:hAnsi="宋体"/>
                <w:sz w:val="24"/>
              </w:rPr>
              <w:t>轿厢反绳轮</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7</w:t>
            </w:r>
          </w:p>
        </w:tc>
        <w:tc>
          <w:tcPr>
            <w:tcW w:w="2782" w:type="dxa"/>
            <w:vAlign w:val="center"/>
          </w:tcPr>
          <w:p>
            <w:pPr>
              <w:jc w:val="center"/>
              <w:rPr>
                <w:rFonts w:ascii="宋体" w:hAnsi="宋体"/>
                <w:sz w:val="24"/>
              </w:rPr>
            </w:pPr>
            <w:r>
              <w:rPr>
                <w:rFonts w:hint="eastAsia" w:ascii="宋体" w:hAnsi="宋体"/>
                <w:sz w:val="24"/>
              </w:rPr>
              <w:t>限速器</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8</w:t>
            </w:r>
          </w:p>
        </w:tc>
        <w:tc>
          <w:tcPr>
            <w:tcW w:w="2782" w:type="dxa"/>
            <w:vAlign w:val="center"/>
          </w:tcPr>
          <w:p>
            <w:pPr>
              <w:jc w:val="center"/>
              <w:rPr>
                <w:rFonts w:ascii="宋体" w:hAnsi="宋体"/>
                <w:sz w:val="24"/>
              </w:rPr>
            </w:pPr>
            <w:r>
              <w:rPr>
                <w:rFonts w:hint="eastAsia" w:ascii="宋体" w:hAnsi="宋体"/>
                <w:sz w:val="24"/>
              </w:rPr>
              <w:t>涨紧轮装置</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9</w:t>
            </w:r>
          </w:p>
        </w:tc>
        <w:tc>
          <w:tcPr>
            <w:tcW w:w="2782" w:type="dxa"/>
            <w:vAlign w:val="center"/>
          </w:tcPr>
          <w:p>
            <w:pPr>
              <w:jc w:val="center"/>
              <w:rPr>
                <w:rFonts w:ascii="宋体" w:hAnsi="宋体"/>
                <w:sz w:val="24"/>
              </w:rPr>
            </w:pPr>
            <w:r>
              <w:rPr>
                <w:rFonts w:hint="eastAsia" w:ascii="宋体" w:hAnsi="宋体"/>
                <w:sz w:val="24"/>
              </w:rPr>
              <w:t>液压缓冲器</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10</w:t>
            </w:r>
          </w:p>
        </w:tc>
        <w:tc>
          <w:tcPr>
            <w:tcW w:w="2782" w:type="dxa"/>
            <w:vAlign w:val="center"/>
          </w:tcPr>
          <w:p>
            <w:pPr>
              <w:jc w:val="center"/>
              <w:rPr>
                <w:rFonts w:ascii="宋体" w:hAnsi="宋体"/>
                <w:sz w:val="24"/>
              </w:rPr>
            </w:pPr>
            <w:r>
              <w:rPr>
                <w:rFonts w:hint="eastAsia" w:ascii="宋体" w:hAnsi="宋体"/>
                <w:sz w:val="24"/>
              </w:rPr>
              <w:t>包塑补偿链</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米</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11</w:t>
            </w:r>
          </w:p>
        </w:tc>
        <w:tc>
          <w:tcPr>
            <w:tcW w:w="2782" w:type="dxa"/>
            <w:vAlign w:val="center"/>
          </w:tcPr>
          <w:p>
            <w:pPr>
              <w:jc w:val="center"/>
              <w:rPr>
                <w:rFonts w:ascii="宋体" w:hAnsi="宋体"/>
                <w:sz w:val="24"/>
              </w:rPr>
            </w:pPr>
            <w:r>
              <w:rPr>
                <w:rFonts w:hint="eastAsia" w:ascii="宋体" w:hAnsi="宋体"/>
                <w:sz w:val="24"/>
              </w:rPr>
              <w:t>补偿链导向装置</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12</w:t>
            </w:r>
          </w:p>
        </w:tc>
        <w:tc>
          <w:tcPr>
            <w:tcW w:w="2782" w:type="dxa"/>
            <w:vAlign w:val="center"/>
          </w:tcPr>
          <w:p>
            <w:pPr>
              <w:jc w:val="center"/>
              <w:rPr>
                <w:rFonts w:ascii="宋体" w:hAnsi="宋体"/>
                <w:sz w:val="24"/>
              </w:rPr>
            </w:pPr>
            <w:r>
              <w:rPr>
                <w:rFonts w:hint="eastAsia" w:ascii="宋体" w:hAnsi="宋体"/>
                <w:sz w:val="24"/>
              </w:rPr>
              <w:t>曳引钢丝绳</w:t>
            </w:r>
          </w:p>
        </w:tc>
        <w:tc>
          <w:tcPr>
            <w:tcW w:w="1966" w:type="dxa"/>
            <w:vAlign w:val="center"/>
          </w:tcPr>
          <w:p>
            <w:pPr>
              <w:jc w:val="center"/>
              <w:rPr>
                <w:rFonts w:ascii="宋体" w:hAnsi="宋体"/>
                <w:sz w:val="24"/>
              </w:rPr>
            </w:pPr>
            <w:r>
              <w:rPr>
                <w:rFonts w:hint="eastAsia" w:ascii="宋体" w:hAnsi="宋体"/>
                <w:sz w:val="24"/>
              </w:rPr>
              <w:t>半钢芯Φ10</w:t>
            </w:r>
          </w:p>
        </w:tc>
        <w:tc>
          <w:tcPr>
            <w:tcW w:w="1284" w:type="dxa"/>
            <w:vAlign w:val="center"/>
          </w:tcPr>
          <w:p>
            <w:pPr>
              <w:ind w:firstLine="480"/>
              <w:rPr>
                <w:sz w:val="24"/>
              </w:rPr>
            </w:pPr>
            <w:r>
              <w:rPr>
                <w:rFonts w:hint="eastAsia"/>
                <w:sz w:val="24"/>
              </w:rPr>
              <w:t>米</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13</w:t>
            </w:r>
          </w:p>
        </w:tc>
        <w:tc>
          <w:tcPr>
            <w:tcW w:w="2782" w:type="dxa"/>
            <w:vAlign w:val="center"/>
          </w:tcPr>
          <w:p>
            <w:pPr>
              <w:jc w:val="center"/>
              <w:rPr>
                <w:rFonts w:ascii="宋体" w:hAnsi="宋体"/>
                <w:sz w:val="24"/>
              </w:rPr>
            </w:pPr>
            <w:r>
              <w:rPr>
                <w:rFonts w:hint="eastAsia" w:ascii="宋体" w:hAnsi="宋体"/>
                <w:sz w:val="24"/>
              </w:rPr>
              <w:t>限速器钢丝绳</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米</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14</w:t>
            </w:r>
          </w:p>
        </w:tc>
        <w:tc>
          <w:tcPr>
            <w:tcW w:w="2782" w:type="dxa"/>
            <w:vAlign w:val="center"/>
          </w:tcPr>
          <w:p>
            <w:pPr>
              <w:jc w:val="center"/>
              <w:rPr>
                <w:rFonts w:ascii="宋体" w:hAnsi="宋体"/>
                <w:sz w:val="24"/>
              </w:rPr>
            </w:pPr>
            <w:r>
              <w:rPr>
                <w:rFonts w:hint="eastAsia" w:ascii="宋体" w:hAnsi="宋体"/>
                <w:sz w:val="24"/>
              </w:rPr>
              <w:t>不锈钢轿门</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道</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15</w:t>
            </w:r>
          </w:p>
        </w:tc>
        <w:tc>
          <w:tcPr>
            <w:tcW w:w="2782" w:type="dxa"/>
            <w:vAlign w:val="center"/>
          </w:tcPr>
          <w:p>
            <w:pPr>
              <w:jc w:val="center"/>
              <w:rPr>
                <w:rFonts w:ascii="宋体" w:hAnsi="宋体"/>
                <w:sz w:val="24"/>
              </w:rPr>
            </w:pPr>
            <w:r>
              <w:rPr>
                <w:rFonts w:hint="eastAsia" w:ascii="宋体" w:hAnsi="宋体"/>
                <w:sz w:val="24"/>
              </w:rPr>
              <w:t>不锈钢厅门</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道</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16</w:t>
            </w:r>
          </w:p>
        </w:tc>
        <w:tc>
          <w:tcPr>
            <w:tcW w:w="2782" w:type="dxa"/>
            <w:vAlign w:val="center"/>
          </w:tcPr>
          <w:p>
            <w:pPr>
              <w:jc w:val="center"/>
              <w:rPr>
                <w:rFonts w:ascii="宋体" w:hAnsi="宋体"/>
                <w:sz w:val="24"/>
              </w:rPr>
            </w:pPr>
            <w:r>
              <w:rPr>
                <w:rFonts w:hint="eastAsia" w:ascii="宋体" w:hAnsi="宋体"/>
                <w:sz w:val="24"/>
              </w:rPr>
              <w:t>厅门挂板</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820" w:type="dxa"/>
            <w:vAlign w:val="center"/>
          </w:tcPr>
          <w:p>
            <w:pPr>
              <w:jc w:val="center"/>
              <w:rPr>
                <w:rFonts w:ascii="宋体" w:hAnsi="宋体"/>
                <w:sz w:val="24"/>
              </w:rPr>
            </w:pPr>
            <w:r>
              <w:rPr>
                <w:rFonts w:hint="eastAsia" w:ascii="宋体" w:hAnsi="宋体"/>
                <w:sz w:val="24"/>
              </w:rPr>
              <w:t>17</w:t>
            </w:r>
          </w:p>
        </w:tc>
        <w:tc>
          <w:tcPr>
            <w:tcW w:w="2782" w:type="dxa"/>
            <w:vAlign w:val="center"/>
          </w:tcPr>
          <w:p>
            <w:pPr>
              <w:jc w:val="center"/>
              <w:rPr>
                <w:rFonts w:ascii="宋体" w:hAnsi="宋体"/>
                <w:sz w:val="24"/>
              </w:rPr>
            </w:pPr>
            <w:r>
              <w:rPr>
                <w:rFonts w:hint="eastAsia" w:ascii="宋体" w:hAnsi="宋体"/>
                <w:sz w:val="24"/>
              </w:rPr>
              <w:t>变频器</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18</w:t>
            </w:r>
          </w:p>
        </w:tc>
        <w:tc>
          <w:tcPr>
            <w:tcW w:w="2782" w:type="dxa"/>
            <w:vAlign w:val="center"/>
          </w:tcPr>
          <w:p>
            <w:pPr>
              <w:jc w:val="center"/>
              <w:rPr>
                <w:rFonts w:ascii="宋体" w:hAnsi="宋体"/>
                <w:sz w:val="24"/>
              </w:rPr>
            </w:pPr>
            <w:r>
              <w:rPr>
                <w:rFonts w:hint="eastAsia" w:ascii="宋体" w:hAnsi="宋体"/>
                <w:sz w:val="24"/>
              </w:rPr>
              <w:t>主板</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jc w:val="center"/>
        </w:trPr>
        <w:tc>
          <w:tcPr>
            <w:tcW w:w="820" w:type="dxa"/>
            <w:vAlign w:val="center"/>
          </w:tcPr>
          <w:p>
            <w:pPr>
              <w:jc w:val="center"/>
              <w:rPr>
                <w:rFonts w:ascii="宋体" w:hAnsi="宋体"/>
                <w:sz w:val="24"/>
              </w:rPr>
            </w:pPr>
            <w:r>
              <w:rPr>
                <w:rFonts w:hint="eastAsia" w:ascii="宋体" w:hAnsi="宋体"/>
                <w:sz w:val="24"/>
              </w:rPr>
              <w:t>19</w:t>
            </w:r>
          </w:p>
        </w:tc>
        <w:tc>
          <w:tcPr>
            <w:tcW w:w="2782" w:type="dxa"/>
            <w:vAlign w:val="center"/>
          </w:tcPr>
          <w:p>
            <w:pPr>
              <w:jc w:val="center"/>
              <w:rPr>
                <w:rFonts w:ascii="宋体" w:hAnsi="宋体"/>
                <w:sz w:val="24"/>
              </w:rPr>
            </w:pPr>
            <w:r>
              <w:rPr>
                <w:rFonts w:hint="eastAsia" w:ascii="宋体" w:hAnsi="宋体"/>
                <w:sz w:val="24"/>
              </w:rPr>
              <w:t>PG卡</w:t>
            </w:r>
          </w:p>
        </w:tc>
        <w:tc>
          <w:tcPr>
            <w:tcW w:w="1966" w:type="dxa"/>
            <w:vAlign w:val="center"/>
          </w:tcPr>
          <w:p>
            <w:pPr>
              <w:jc w:val="center"/>
              <w:rPr>
                <w:rFonts w:ascii="宋体" w:hAnsi="宋体"/>
                <w:sz w:val="24"/>
              </w:rPr>
            </w:pPr>
          </w:p>
        </w:tc>
        <w:tc>
          <w:tcPr>
            <w:tcW w:w="1284" w:type="dxa"/>
            <w:vAlign w:val="center"/>
          </w:tcPr>
          <w:p>
            <w:pPr>
              <w:jc w:val="center"/>
              <w:rPr>
                <w:rFonts w:ascii="宋体" w:hAnsi="宋体"/>
                <w:sz w:val="24"/>
              </w:rPr>
            </w:pPr>
            <w:r>
              <w:rPr>
                <w:rFonts w:hint="eastAsia" w:ascii="宋体" w:hAnsi="宋体"/>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820" w:type="dxa"/>
            <w:vAlign w:val="center"/>
          </w:tcPr>
          <w:p>
            <w:pPr>
              <w:jc w:val="center"/>
              <w:rPr>
                <w:rFonts w:ascii="宋体" w:hAnsi="宋体"/>
                <w:sz w:val="24"/>
              </w:rPr>
            </w:pPr>
            <w:r>
              <w:rPr>
                <w:rFonts w:hint="eastAsia" w:ascii="宋体" w:hAnsi="宋体"/>
                <w:sz w:val="24"/>
              </w:rPr>
              <w:t>20</w:t>
            </w:r>
          </w:p>
        </w:tc>
        <w:tc>
          <w:tcPr>
            <w:tcW w:w="2782" w:type="dxa"/>
            <w:vAlign w:val="center"/>
          </w:tcPr>
          <w:p>
            <w:pPr>
              <w:jc w:val="center"/>
              <w:rPr>
                <w:rFonts w:ascii="宋体" w:hAnsi="宋体"/>
                <w:sz w:val="24"/>
              </w:rPr>
            </w:pPr>
            <w:r>
              <w:rPr>
                <w:rFonts w:hint="eastAsia" w:ascii="宋体" w:hAnsi="宋体"/>
                <w:sz w:val="24"/>
              </w:rPr>
              <w:t>控制电源</w:t>
            </w:r>
          </w:p>
        </w:tc>
        <w:tc>
          <w:tcPr>
            <w:tcW w:w="1966" w:type="dxa"/>
            <w:vAlign w:val="center"/>
          </w:tcPr>
          <w:p>
            <w:pPr>
              <w:jc w:val="center"/>
              <w:rPr>
                <w:rFonts w:ascii="宋体" w:hAnsi="宋体"/>
                <w:sz w:val="24"/>
              </w:rPr>
            </w:pPr>
          </w:p>
        </w:tc>
        <w:tc>
          <w:tcPr>
            <w:tcW w:w="1284" w:type="dxa"/>
            <w:vAlign w:val="center"/>
          </w:tcPr>
          <w:p>
            <w:pPr>
              <w:jc w:val="center"/>
              <w:rPr>
                <w:rFonts w:ascii="宋体" w:hAnsi="宋体"/>
                <w:sz w:val="24"/>
              </w:rPr>
            </w:pPr>
            <w:r>
              <w:rPr>
                <w:rFonts w:hint="eastAsia" w:ascii="宋体" w:hAnsi="宋体"/>
                <w:sz w:val="24"/>
              </w:rPr>
              <w:t>台</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21</w:t>
            </w:r>
          </w:p>
        </w:tc>
        <w:tc>
          <w:tcPr>
            <w:tcW w:w="2782" w:type="dxa"/>
            <w:vAlign w:val="center"/>
          </w:tcPr>
          <w:p>
            <w:pPr>
              <w:jc w:val="center"/>
              <w:rPr>
                <w:rFonts w:ascii="宋体" w:hAnsi="宋体"/>
                <w:sz w:val="24"/>
              </w:rPr>
            </w:pPr>
            <w:r>
              <w:rPr>
                <w:rFonts w:hint="eastAsia" w:ascii="宋体" w:hAnsi="宋体"/>
                <w:sz w:val="24"/>
              </w:rPr>
              <w:t>门机变频器</w:t>
            </w:r>
          </w:p>
        </w:tc>
        <w:tc>
          <w:tcPr>
            <w:tcW w:w="1966" w:type="dxa"/>
            <w:vAlign w:val="center"/>
          </w:tcPr>
          <w:p>
            <w:pPr>
              <w:jc w:val="center"/>
              <w:rPr>
                <w:rFonts w:ascii="宋体" w:hAnsi="宋体"/>
                <w:sz w:val="24"/>
              </w:rPr>
            </w:pPr>
          </w:p>
        </w:tc>
        <w:tc>
          <w:tcPr>
            <w:tcW w:w="1284" w:type="dxa"/>
            <w:vAlign w:val="center"/>
          </w:tcPr>
          <w:p>
            <w:pPr>
              <w:tabs>
                <w:tab w:val="left" w:pos="570"/>
              </w:tabs>
              <w:jc w:val="center"/>
              <w:rPr>
                <w:rFonts w:ascii="宋体" w:hAnsi="宋体"/>
                <w:sz w:val="24"/>
              </w:rPr>
            </w:pPr>
            <w:r>
              <w:rPr>
                <w:rFonts w:hint="eastAsia" w:ascii="宋体" w:hAnsi="宋体"/>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22</w:t>
            </w:r>
          </w:p>
        </w:tc>
        <w:tc>
          <w:tcPr>
            <w:tcW w:w="2782" w:type="dxa"/>
            <w:vAlign w:val="center"/>
          </w:tcPr>
          <w:p>
            <w:pPr>
              <w:jc w:val="center"/>
              <w:rPr>
                <w:rFonts w:ascii="宋体" w:hAnsi="宋体"/>
                <w:sz w:val="24"/>
              </w:rPr>
            </w:pPr>
            <w:r>
              <w:rPr>
                <w:rFonts w:hint="eastAsia" w:ascii="宋体" w:hAnsi="宋体"/>
                <w:sz w:val="24"/>
              </w:rPr>
              <w:t>门电机</w:t>
            </w:r>
          </w:p>
        </w:tc>
        <w:tc>
          <w:tcPr>
            <w:tcW w:w="1966" w:type="dxa"/>
            <w:vAlign w:val="center"/>
          </w:tcPr>
          <w:p>
            <w:pPr>
              <w:jc w:val="center"/>
              <w:rPr>
                <w:rFonts w:ascii="宋体" w:hAnsi="宋体"/>
                <w:sz w:val="24"/>
              </w:rPr>
            </w:pPr>
          </w:p>
        </w:tc>
        <w:tc>
          <w:tcPr>
            <w:tcW w:w="1284" w:type="dxa"/>
            <w:vAlign w:val="center"/>
          </w:tcPr>
          <w:p>
            <w:pPr>
              <w:jc w:val="center"/>
              <w:rPr>
                <w:rFonts w:ascii="宋体" w:hAnsi="宋体"/>
                <w:sz w:val="24"/>
              </w:rPr>
            </w:pPr>
            <w:r>
              <w:rPr>
                <w:rFonts w:hint="eastAsia" w:ascii="宋体" w:hAnsi="宋体"/>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23</w:t>
            </w:r>
          </w:p>
        </w:tc>
        <w:tc>
          <w:tcPr>
            <w:tcW w:w="2782" w:type="dxa"/>
            <w:vAlign w:val="center"/>
          </w:tcPr>
          <w:p>
            <w:pPr>
              <w:jc w:val="center"/>
              <w:rPr>
                <w:rFonts w:ascii="宋体" w:hAnsi="宋体"/>
                <w:sz w:val="24"/>
              </w:rPr>
            </w:pPr>
            <w:r>
              <w:rPr>
                <w:rFonts w:hint="eastAsia" w:ascii="宋体" w:hAnsi="宋体"/>
                <w:sz w:val="24"/>
              </w:rPr>
              <w:t>编码器</w:t>
            </w:r>
          </w:p>
        </w:tc>
        <w:tc>
          <w:tcPr>
            <w:tcW w:w="1966" w:type="dxa"/>
            <w:vAlign w:val="center"/>
          </w:tcPr>
          <w:p>
            <w:pPr>
              <w:jc w:val="center"/>
              <w:rPr>
                <w:rFonts w:ascii="宋体" w:hAnsi="宋体"/>
                <w:sz w:val="24"/>
              </w:rPr>
            </w:pPr>
            <w:r>
              <w:rPr>
                <w:rFonts w:hint="eastAsia" w:ascii="宋体" w:hAnsi="宋体"/>
                <w:sz w:val="24"/>
              </w:rPr>
              <w:t>1387</w:t>
            </w: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24</w:t>
            </w:r>
          </w:p>
        </w:tc>
        <w:tc>
          <w:tcPr>
            <w:tcW w:w="2782" w:type="dxa"/>
            <w:vAlign w:val="center"/>
          </w:tcPr>
          <w:p>
            <w:pPr>
              <w:jc w:val="center"/>
              <w:rPr>
                <w:rFonts w:ascii="宋体" w:hAnsi="宋体"/>
                <w:sz w:val="24"/>
              </w:rPr>
            </w:pPr>
            <w:r>
              <w:rPr>
                <w:rFonts w:hint="eastAsia" w:ascii="宋体" w:hAnsi="宋体"/>
                <w:sz w:val="24"/>
              </w:rPr>
              <w:t>光幕</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25</w:t>
            </w:r>
          </w:p>
        </w:tc>
        <w:tc>
          <w:tcPr>
            <w:tcW w:w="2782" w:type="dxa"/>
            <w:vAlign w:val="center"/>
          </w:tcPr>
          <w:p>
            <w:pPr>
              <w:jc w:val="center"/>
              <w:rPr>
                <w:rFonts w:ascii="宋体" w:hAnsi="宋体"/>
                <w:sz w:val="24"/>
              </w:rPr>
            </w:pPr>
            <w:r>
              <w:rPr>
                <w:rFonts w:hint="eastAsia" w:ascii="宋体" w:hAnsi="宋体"/>
                <w:sz w:val="24"/>
              </w:rPr>
              <w:t>轿内板</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26</w:t>
            </w:r>
          </w:p>
        </w:tc>
        <w:tc>
          <w:tcPr>
            <w:tcW w:w="2782" w:type="dxa"/>
            <w:vAlign w:val="center"/>
          </w:tcPr>
          <w:p>
            <w:pPr>
              <w:jc w:val="center"/>
              <w:rPr>
                <w:rFonts w:ascii="宋体" w:hAnsi="宋体"/>
                <w:sz w:val="24"/>
              </w:rPr>
            </w:pPr>
            <w:r>
              <w:rPr>
                <w:rFonts w:hint="eastAsia" w:ascii="宋体" w:hAnsi="宋体"/>
                <w:sz w:val="24"/>
              </w:rPr>
              <w:t>轿顶板</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27</w:t>
            </w:r>
          </w:p>
        </w:tc>
        <w:tc>
          <w:tcPr>
            <w:tcW w:w="2782" w:type="dxa"/>
            <w:vAlign w:val="center"/>
          </w:tcPr>
          <w:p>
            <w:pPr>
              <w:ind w:firstLine="960" w:firstLineChars="400"/>
              <w:rPr>
                <w:rFonts w:ascii="宋体" w:hAnsi="宋体"/>
                <w:sz w:val="24"/>
              </w:rPr>
            </w:pPr>
            <w:r>
              <w:rPr>
                <w:rFonts w:hint="eastAsia" w:ascii="宋体" w:hAnsi="宋体"/>
                <w:sz w:val="24"/>
              </w:rPr>
              <w:t>光电开关</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28</w:t>
            </w:r>
          </w:p>
        </w:tc>
        <w:tc>
          <w:tcPr>
            <w:tcW w:w="2782" w:type="dxa"/>
            <w:vAlign w:val="center"/>
          </w:tcPr>
          <w:p>
            <w:pPr>
              <w:rPr>
                <w:rFonts w:ascii="宋体" w:hAnsi="宋体"/>
                <w:sz w:val="24"/>
              </w:rPr>
            </w:pPr>
            <w:r>
              <w:rPr>
                <w:rFonts w:hint="eastAsia" w:ascii="宋体" w:hAnsi="宋体"/>
                <w:sz w:val="24"/>
              </w:rPr>
              <w:t xml:space="preserve">      轿内图片机</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820" w:type="dxa"/>
            <w:vAlign w:val="center"/>
          </w:tcPr>
          <w:p>
            <w:pPr>
              <w:jc w:val="center"/>
              <w:rPr>
                <w:rFonts w:ascii="宋体" w:hAnsi="宋体"/>
                <w:sz w:val="24"/>
              </w:rPr>
            </w:pPr>
            <w:r>
              <w:rPr>
                <w:rFonts w:hint="eastAsia" w:ascii="宋体" w:hAnsi="宋体"/>
                <w:sz w:val="24"/>
              </w:rPr>
              <w:t>29</w:t>
            </w:r>
          </w:p>
        </w:tc>
        <w:tc>
          <w:tcPr>
            <w:tcW w:w="2782" w:type="dxa"/>
            <w:vAlign w:val="center"/>
          </w:tcPr>
          <w:p>
            <w:pPr>
              <w:jc w:val="center"/>
              <w:rPr>
                <w:rFonts w:ascii="宋体" w:hAnsi="宋体"/>
                <w:sz w:val="24"/>
              </w:rPr>
            </w:pPr>
            <w:r>
              <w:rPr>
                <w:rFonts w:hint="eastAsia" w:ascii="宋体" w:hAnsi="宋体"/>
                <w:sz w:val="24"/>
              </w:rPr>
              <w:t>外呼显示图片机</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30</w:t>
            </w:r>
          </w:p>
        </w:tc>
        <w:tc>
          <w:tcPr>
            <w:tcW w:w="2782" w:type="dxa"/>
            <w:vAlign w:val="center"/>
          </w:tcPr>
          <w:p>
            <w:pPr>
              <w:jc w:val="center"/>
              <w:rPr>
                <w:rFonts w:ascii="宋体" w:hAnsi="宋体"/>
                <w:sz w:val="24"/>
              </w:rPr>
            </w:pPr>
            <w:r>
              <w:rPr>
                <w:rFonts w:hint="eastAsia" w:ascii="宋体" w:hAnsi="宋体"/>
                <w:sz w:val="24"/>
              </w:rPr>
              <w:t>外呼液晶显示</w:t>
            </w:r>
          </w:p>
        </w:tc>
        <w:tc>
          <w:tcPr>
            <w:tcW w:w="1966" w:type="dxa"/>
            <w:vAlign w:val="center"/>
          </w:tcPr>
          <w:p>
            <w:pPr>
              <w:jc w:val="center"/>
              <w:rPr>
                <w:rFonts w:ascii="宋体" w:hAnsi="宋体"/>
                <w:sz w:val="24"/>
              </w:rPr>
            </w:pP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31</w:t>
            </w:r>
          </w:p>
        </w:tc>
        <w:tc>
          <w:tcPr>
            <w:tcW w:w="2782" w:type="dxa"/>
            <w:vAlign w:val="center"/>
          </w:tcPr>
          <w:p>
            <w:pPr>
              <w:jc w:val="center"/>
              <w:rPr>
                <w:rFonts w:ascii="宋体" w:hAnsi="宋体"/>
                <w:sz w:val="24"/>
              </w:rPr>
            </w:pPr>
            <w:r>
              <w:rPr>
                <w:rFonts w:hint="eastAsia" w:ascii="宋体" w:hAnsi="宋体"/>
                <w:sz w:val="24"/>
              </w:rPr>
              <w:t>接触器</w:t>
            </w:r>
          </w:p>
        </w:tc>
        <w:tc>
          <w:tcPr>
            <w:tcW w:w="1966" w:type="dxa"/>
            <w:vAlign w:val="center"/>
          </w:tcPr>
          <w:p>
            <w:pPr>
              <w:jc w:val="center"/>
              <w:rPr>
                <w:rFonts w:ascii="宋体" w:hAnsi="宋体"/>
                <w:sz w:val="24"/>
              </w:rPr>
            </w:pPr>
            <w:r>
              <w:rPr>
                <w:rFonts w:hint="eastAsia" w:ascii="宋体" w:hAnsi="宋体"/>
                <w:sz w:val="24"/>
              </w:rPr>
              <w:t>LC1D50</w:t>
            </w:r>
          </w:p>
        </w:tc>
        <w:tc>
          <w:tcPr>
            <w:tcW w:w="1284" w:type="dxa"/>
            <w:vAlign w:val="center"/>
          </w:tcPr>
          <w:p>
            <w:pPr>
              <w:ind w:firstLine="480"/>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32</w:t>
            </w:r>
          </w:p>
        </w:tc>
        <w:tc>
          <w:tcPr>
            <w:tcW w:w="2782" w:type="dxa"/>
            <w:vAlign w:val="center"/>
          </w:tcPr>
          <w:p>
            <w:pPr>
              <w:jc w:val="center"/>
              <w:rPr>
                <w:rFonts w:ascii="宋体" w:hAnsi="宋体"/>
                <w:sz w:val="24"/>
              </w:rPr>
            </w:pPr>
            <w:r>
              <w:rPr>
                <w:rFonts w:hint="eastAsia" w:ascii="宋体" w:hAnsi="宋体"/>
                <w:sz w:val="24"/>
              </w:rPr>
              <w:t>接触器</w:t>
            </w:r>
          </w:p>
        </w:tc>
        <w:tc>
          <w:tcPr>
            <w:tcW w:w="1966" w:type="dxa"/>
            <w:vAlign w:val="center"/>
          </w:tcPr>
          <w:p>
            <w:pPr>
              <w:jc w:val="center"/>
              <w:rPr>
                <w:rFonts w:ascii="宋体" w:hAnsi="宋体"/>
                <w:sz w:val="24"/>
              </w:rPr>
            </w:pPr>
            <w:r>
              <w:rPr>
                <w:rFonts w:hint="eastAsia" w:ascii="宋体" w:hAnsi="宋体"/>
                <w:sz w:val="24"/>
              </w:rPr>
              <w:t>LC1D40</w:t>
            </w:r>
          </w:p>
        </w:tc>
        <w:tc>
          <w:tcPr>
            <w:tcW w:w="1284" w:type="dxa"/>
            <w:vAlign w:val="center"/>
          </w:tcPr>
          <w:p>
            <w:pPr>
              <w:rPr>
                <w:rFonts w:ascii="宋体" w:hAnsi="宋体"/>
                <w:sz w:val="24"/>
              </w:rPr>
            </w:pPr>
            <w:r>
              <w:rPr>
                <w:rFonts w:hint="eastAsia" w:ascii="宋体" w:hAnsi="宋体"/>
                <w:sz w:val="24"/>
              </w:rPr>
              <w:t xml:space="preserve">    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0" w:type="dxa"/>
            <w:vAlign w:val="center"/>
          </w:tcPr>
          <w:p>
            <w:pPr>
              <w:jc w:val="center"/>
              <w:rPr>
                <w:rFonts w:ascii="宋体" w:hAnsi="宋体"/>
                <w:sz w:val="24"/>
              </w:rPr>
            </w:pPr>
            <w:r>
              <w:rPr>
                <w:rFonts w:hint="eastAsia" w:ascii="宋体" w:hAnsi="宋体"/>
                <w:sz w:val="24"/>
              </w:rPr>
              <w:t>33</w:t>
            </w:r>
          </w:p>
        </w:tc>
        <w:tc>
          <w:tcPr>
            <w:tcW w:w="2782" w:type="dxa"/>
            <w:vAlign w:val="center"/>
          </w:tcPr>
          <w:p>
            <w:pPr>
              <w:jc w:val="center"/>
              <w:rPr>
                <w:rFonts w:ascii="宋体" w:hAnsi="宋体"/>
                <w:sz w:val="24"/>
              </w:rPr>
            </w:pPr>
            <w:r>
              <w:rPr>
                <w:rFonts w:hint="eastAsia" w:ascii="宋体" w:hAnsi="宋体"/>
                <w:sz w:val="24"/>
              </w:rPr>
              <w:t>接触器</w:t>
            </w:r>
          </w:p>
        </w:tc>
        <w:tc>
          <w:tcPr>
            <w:tcW w:w="1966" w:type="dxa"/>
            <w:vAlign w:val="center"/>
          </w:tcPr>
          <w:p>
            <w:pPr>
              <w:jc w:val="center"/>
              <w:rPr>
                <w:rFonts w:ascii="宋体" w:hAnsi="宋体"/>
                <w:sz w:val="24"/>
              </w:rPr>
            </w:pPr>
            <w:r>
              <w:rPr>
                <w:rFonts w:hint="eastAsia" w:ascii="宋体" w:hAnsi="宋体"/>
                <w:sz w:val="24"/>
              </w:rPr>
              <w:t>LC1D0901</w:t>
            </w:r>
          </w:p>
        </w:tc>
        <w:tc>
          <w:tcPr>
            <w:tcW w:w="1284" w:type="dxa"/>
            <w:vAlign w:val="center"/>
          </w:tcPr>
          <w:p>
            <w:pPr>
              <w:jc w:val="center"/>
              <w:rPr>
                <w:rFonts w:ascii="宋体" w:hAnsi="宋体"/>
                <w:sz w:val="24"/>
              </w:rPr>
            </w:pPr>
            <w:r>
              <w:rPr>
                <w:rFonts w:hint="eastAsia" w:ascii="宋体" w:hAnsi="宋体"/>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820" w:type="dxa"/>
            <w:vAlign w:val="center"/>
          </w:tcPr>
          <w:p>
            <w:pPr>
              <w:jc w:val="center"/>
              <w:rPr>
                <w:rFonts w:ascii="宋体" w:hAnsi="宋体"/>
                <w:sz w:val="24"/>
              </w:rPr>
            </w:pPr>
            <w:r>
              <w:rPr>
                <w:rFonts w:hint="eastAsia" w:ascii="宋体" w:hAnsi="宋体"/>
                <w:sz w:val="24"/>
              </w:rPr>
              <w:t>34</w:t>
            </w:r>
          </w:p>
        </w:tc>
        <w:tc>
          <w:tcPr>
            <w:tcW w:w="2782" w:type="dxa"/>
            <w:vAlign w:val="center"/>
          </w:tcPr>
          <w:p>
            <w:pPr>
              <w:jc w:val="center"/>
              <w:rPr>
                <w:rFonts w:ascii="宋体" w:hAnsi="宋体"/>
                <w:sz w:val="24"/>
              </w:rPr>
            </w:pPr>
            <w:r>
              <w:rPr>
                <w:rFonts w:hint="eastAsia" w:ascii="宋体" w:hAnsi="宋体"/>
                <w:sz w:val="24"/>
              </w:rPr>
              <w:t>接触器</w:t>
            </w:r>
          </w:p>
        </w:tc>
        <w:tc>
          <w:tcPr>
            <w:tcW w:w="1966" w:type="dxa"/>
            <w:vAlign w:val="center"/>
          </w:tcPr>
          <w:p>
            <w:pPr>
              <w:jc w:val="center"/>
              <w:rPr>
                <w:rFonts w:ascii="宋体" w:hAnsi="宋体"/>
                <w:sz w:val="24"/>
              </w:rPr>
            </w:pPr>
            <w:r>
              <w:rPr>
                <w:rFonts w:hint="eastAsia" w:ascii="宋体" w:hAnsi="宋体"/>
                <w:sz w:val="24"/>
              </w:rPr>
              <w:t>MG5-BF</w:t>
            </w:r>
          </w:p>
        </w:tc>
        <w:tc>
          <w:tcPr>
            <w:tcW w:w="1284" w:type="dxa"/>
            <w:vAlign w:val="center"/>
          </w:tcPr>
          <w:p>
            <w:pPr>
              <w:jc w:val="center"/>
              <w:rPr>
                <w:sz w:val="24"/>
              </w:rPr>
            </w:pPr>
            <w:r>
              <w:rPr>
                <w:rFonts w:hint="eastAsia"/>
                <w:sz w:val="24"/>
              </w:rPr>
              <w:t>套</w:t>
            </w:r>
          </w:p>
        </w:tc>
        <w:tc>
          <w:tcPr>
            <w:tcW w:w="1615" w:type="dxa"/>
          </w:tcPr>
          <w:p>
            <w:pPr>
              <w:rPr>
                <w:color w:val="FFFFFF" w:themeColor="background1"/>
                <w14:textFill>
                  <w14:solidFill>
                    <w14:schemeClr w14:val="bg1"/>
                  </w14:solidFill>
                </w14:textFill>
              </w:rPr>
            </w:pPr>
            <w:r>
              <w:rPr>
                <w:rFonts w:hint="eastAsia" w:ascii="宋体" w:hAnsi="宋体"/>
                <w:color w:val="FFFFFF" w:themeColor="background1"/>
                <w:sz w:val="24"/>
                <w14:textFill>
                  <w14:solidFill>
                    <w14:schemeClr w14:val="bg1"/>
                  </w14:solidFill>
                </w14:textFill>
              </w:rPr>
              <w:t>0</w:t>
            </w:r>
          </w:p>
        </w:tc>
      </w:tr>
    </w:tbl>
    <w:p>
      <w:pPr>
        <w:autoSpaceDE w:val="0"/>
        <w:autoSpaceDN w:val="0"/>
        <w:adjustRightInd w:val="0"/>
        <w:jc w:val="left"/>
        <w:rPr>
          <w:rFonts w:ascii="宋体" w:hAnsi="Verdana" w:cs="宋体"/>
          <w:color w:val="000000"/>
          <w:kern w:val="0"/>
          <w:sz w:val="24"/>
          <w:lang w:val="zh-CN"/>
        </w:rPr>
      </w:pPr>
    </w:p>
    <w:p>
      <w:pPr>
        <w:autoSpaceDE w:val="0"/>
        <w:autoSpaceDN w:val="0"/>
        <w:adjustRightInd w:val="0"/>
        <w:jc w:val="left"/>
        <w:rPr>
          <w:rFonts w:ascii="Verdana" w:hAnsi="Verdana" w:cs="Verdana"/>
          <w:color w:val="000000"/>
          <w:kern w:val="0"/>
          <w:sz w:val="24"/>
        </w:rPr>
      </w:pPr>
      <w:r>
        <w:rPr>
          <w:rFonts w:hint="eastAsia" w:ascii="宋体" w:hAnsi="Verdana" w:cs="宋体"/>
          <w:color w:val="000000"/>
          <w:kern w:val="0"/>
          <w:sz w:val="24"/>
          <w:lang w:val="zh-CN"/>
        </w:rPr>
        <w:t>注：</w:t>
      </w:r>
      <w:r>
        <w:rPr>
          <w:rFonts w:ascii="Verdana" w:hAnsi="Verdana" w:cs="Verdana"/>
          <w:color w:val="000000"/>
          <w:kern w:val="0"/>
          <w:sz w:val="24"/>
        </w:rPr>
        <w:t>(1)</w:t>
      </w:r>
      <w:r>
        <w:rPr>
          <w:rFonts w:hint="eastAsia" w:ascii="宋体" w:hAnsi="Verdana" w:cs="宋体"/>
          <w:color w:val="000000"/>
          <w:kern w:val="0"/>
          <w:sz w:val="24"/>
          <w:lang w:val="zh-CN"/>
        </w:rPr>
        <w:t>如果某些电梯没有表中的项目（内容），如有的电梯不含有某种部件，项目（内容）可适当进行调整；</w:t>
      </w:r>
    </w:p>
    <w:p>
      <w:pPr>
        <w:autoSpaceDE w:val="0"/>
        <w:autoSpaceDN w:val="0"/>
        <w:adjustRightInd w:val="0"/>
        <w:ind w:left="839" w:leftChars="228" w:hanging="360" w:hangingChars="150"/>
        <w:jc w:val="left"/>
        <w:rPr>
          <w:rFonts w:ascii="Verdana" w:hAnsi="Verdana" w:cs="Verdana"/>
          <w:color w:val="000000"/>
          <w:kern w:val="0"/>
          <w:sz w:val="24"/>
        </w:rPr>
      </w:pPr>
      <w:r>
        <w:rPr>
          <w:rFonts w:ascii="Verdana" w:hAnsi="Verdana" w:cs="Verdana"/>
          <w:color w:val="000000"/>
          <w:kern w:val="0"/>
          <w:sz w:val="24"/>
        </w:rPr>
        <w:t>(2)</w:t>
      </w:r>
      <w:r>
        <w:rPr>
          <w:rFonts w:hint="eastAsia" w:ascii="宋体" w:hAnsi="Verdana" w:cs="宋体"/>
          <w:color w:val="000000"/>
          <w:kern w:val="0"/>
          <w:sz w:val="24"/>
          <w:lang w:val="zh-CN"/>
        </w:rPr>
        <w:t>维保项目（内容）和要求中对测试、试验有明确规定的，应当按照规定进行测试、试验，没有明确规定，一般为检查、调整、清洁和润滑；</w:t>
      </w:r>
    </w:p>
    <w:p>
      <w:pPr>
        <w:autoSpaceDE w:val="0"/>
        <w:autoSpaceDN w:val="0"/>
        <w:adjustRightInd w:val="0"/>
        <w:ind w:left="840" w:hanging="840" w:hangingChars="350"/>
        <w:jc w:val="left"/>
        <w:rPr>
          <w:rFonts w:ascii="Verdana" w:hAnsi="Verdana" w:cs="Verdana"/>
          <w:color w:val="000000"/>
          <w:kern w:val="0"/>
          <w:sz w:val="24"/>
        </w:rPr>
      </w:pPr>
      <w:r>
        <w:rPr>
          <w:rFonts w:ascii="Verdana" w:hAnsi="Verdana" w:cs="Verdana"/>
          <w:color w:val="000000"/>
          <w:kern w:val="0"/>
          <w:sz w:val="24"/>
        </w:rPr>
        <w:t xml:space="preserve">    </w:t>
      </w:r>
      <w:r>
        <w:rPr>
          <w:rFonts w:hint="eastAsia" w:ascii="Verdana" w:hAnsi="Verdana" w:cs="Verdana"/>
          <w:color w:val="000000"/>
          <w:kern w:val="0"/>
          <w:sz w:val="24"/>
        </w:rPr>
        <w:t xml:space="preserve"> </w:t>
      </w:r>
      <w:r>
        <w:rPr>
          <w:rFonts w:ascii="Verdana" w:hAnsi="Verdana" w:cs="Verdana"/>
          <w:color w:val="000000"/>
          <w:kern w:val="0"/>
          <w:sz w:val="24"/>
        </w:rPr>
        <w:t>(3)</w:t>
      </w:r>
      <w:r>
        <w:rPr>
          <w:rFonts w:hint="eastAsia" w:ascii="宋体" w:hAnsi="Verdana" w:cs="宋体"/>
          <w:color w:val="000000"/>
          <w:kern w:val="0"/>
          <w:sz w:val="24"/>
          <w:lang w:val="zh-CN"/>
        </w:rPr>
        <w:t>维保基本要求，规定为</w:t>
      </w:r>
      <w:r>
        <w:rPr>
          <w:rFonts w:ascii="Verdana" w:hAnsi="Verdana" w:cs="Verdana"/>
          <w:color w:val="000000"/>
          <w:kern w:val="0"/>
          <w:sz w:val="24"/>
        </w:rPr>
        <w:t>“</w:t>
      </w:r>
      <w:r>
        <w:rPr>
          <w:rFonts w:hint="eastAsia" w:ascii="宋体" w:hAnsi="Verdana" w:cs="宋体"/>
          <w:color w:val="000000"/>
          <w:kern w:val="0"/>
          <w:sz w:val="24"/>
          <w:lang w:val="zh-CN"/>
        </w:rPr>
        <w:t>符合标准</w:t>
      </w:r>
      <w:r>
        <w:rPr>
          <w:rFonts w:ascii="Verdana" w:hAnsi="Verdana" w:cs="Verdana"/>
          <w:color w:val="000000"/>
          <w:kern w:val="0"/>
          <w:sz w:val="24"/>
        </w:rPr>
        <w:t>”</w:t>
      </w:r>
      <w:r>
        <w:rPr>
          <w:rFonts w:hint="eastAsia" w:ascii="宋体" w:hAnsi="Verdana" w:cs="宋体"/>
          <w:color w:val="000000"/>
          <w:kern w:val="0"/>
          <w:sz w:val="24"/>
          <w:lang w:val="zh-CN"/>
        </w:rPr>
        <w:t>的，有国家标准应当符合国家标准，没有国家标准的应当符合行业标准、企业标准。</w:t>
      </w:r>
    </w:p>
    <w:p>
      <w:pPr>
        <w:autoSpaceDE w:val="0"/>
        <w:autoSpaceDN w:val="0"/>
        <w:adjustRightInd w:val="0"/>
        <w:ind w:left="839" w:leftChars="228" w:hanging="360" w:hangingChars="150"/>
        <w:jc w:val="left"/>
        <w:rPr>
          <w:rFonts w:ascii="Verdana" w:hAnsi="Verdana" w:cs="Verdana"/>
          <w:color w:val="000000"/>
          <w:kern w:val="0"/>
          <w:sz w:val="24"/>
        </w:rPr>
      </w:pPr>
      <w:r>
        <w:rPr>
          <w:rFonts w:ascii="Verdana" w:hAnsi="Verdana" w:cs="Verdana"/>
          <w:color w:val="000000"/>
          <w:kern w:val="0"/>
          <w:sz w:val="24"/>
        </w:rPr>
        <w:t>(4)</w:t>
      </w:r>
      <w:r>
        <w:rPr>
          <w:rFonts w:hint="eastAsia" w:ascii="宋体" w:hAnsi="Verdana" w:cs="宋体"/>
          <w:color w:val="000000"/>
          <w:kern w:val="0"/>
          <w:sz w:val="24"/>
          <w:lang w:val="zh-CN"/>
        </w:rPr>
        <w:t>维保基本要求，规定为</w:t>
      </w:r>
      <w:r>
        <w:rPr>
          <w:rFonts w:ascii="Verdana" w:hAnsi="Verdana" w:cs="Verdana"/>
          <w:color w:val="000000"/>
          <w:kern w:val="0"/>
          <w:sz w:val="24"/>
        </w:rPr>
        <w:t>“</w:t>
      </w:r>
      <w:r>
        <w:rPr>
          <w:rFonts w:hint="eastAsia" w:ascii="宋体" w:hAnsi="Verdana" w:cs="宋体"/>
          <w:color w:val="000000"/>
          <w:kern w:val="0"/>
          <w:sz w:val="24"/>
          <w:lang w:val="zh-CN"/>
        </w:rPr>
        <w:t>制造单位要求</w:t>
      </w:r>
      <w:r>
        <w:rPr>
          <w:rFonts w:ascii="Verdana" w:hAnsi="Verdana" w:cs="Verdana"/>
          <w:color w:val="000000"/>
          <w:kern w:val="0"/>
          <w:sz w:val="24"/>
        </w:rPr>
        <w:t>”</w:t>
      </w:r>
      <w:r>
        <w:rPr>
          <w:rFonts w:hint="eastAsia" w:ascii="宋体" w:hAnsi="Verdana" w:cs="宋体"/>
          <w:color w:val="000000"/>
          <w:kern w:val="0"/>
          <w:sz w:val="24"/>
          <w:lang w:val="zh-CN"/>
        </w:rPr>
        <w:t>的，按照制造单位的要求，其他没有明确的</w:t>
      </w:r>
      <w:r>
        <w:rPr>
          <w:rFonts w:ascii="Verdana" w:hAnsi="Verdana" w:cs="Verdana"/>
          <w:color w:val="000000"/>
          <w:kern w:val="0"/>
          <w:sz w:val="24"/>
        </w:rPr>
        <w:t>“</w:t>
      </w:r>
      <w:r>
        <w:rPr>
          <w:rFonts w:hint="eastAsia" w:ascii="宋体" w:hAnsi="Verdana" w:cs="宋体"/>
          <w:color w:val="000000"/>
          <w:kern w:val="0"/>
          <w:sz w:val="24"/>
          <w:lang w:val="zh-CN"/>
        </w:rPr>
        <w:t>要求</w:t>
      </w:r>
      <w:r>
        <w:rPr>
          <w:rFonts w:ascii="Verdana" w:hAnsi="Verdana" w:cs="Verdana"/>
          <w:color w:val="000000"/>
          <w:kern w:val="0"/>
          <w:sz w:val="24"/>
        </w:rPr>
        <w:t>”</w:t>
      </w:r>
      <w:r>
        <w:rPr>
          <w:rFonts w:hint="eastAsia" w:ascii="宋体" w:hAnsi="Verdana" w:cs="宋体"/>
          <w:color w:val="000000"/>
          <w:kern w:val="0"/>
          <w:sz w:val="24"/>
          <w:lang w:val="zh-CN"/>
        </w:rPr>
        <w:t>，应当为安全技术规范、标准或者制造单位等的要求。</w:t>
      </w:r>
    </w:p>
    <w:p/>
    <w:p/>
    <w:p/>
    <w:p/>
    <w:p>
      <w:pPr>
        <w:jc w:val="right"/>
        <w:rPr>
          <w:sz w:val="32"/>
          <w:szCs w:val="32"/>
        </w:rPr>
      </w:pPr>
      <w:r>
        <w:rPr>
          <w:rFonts w:hint="eastAsia"/>
          <w:sz w:val="32"/>
          <w:szCs w:val="32"/>
        </w:rPr>
        <w:t>射洪市中医院后勤总务科</w:t>
      </w:r>
    </w:p>
    <w:p>
      <w:pPr>
        <w:jc w:val="right"/>
        <w:rPr>
          <w:sz w:val="32"/>
          <w:szCs w:val="32"/>
        </w:rPr>
      </w:pPr>
      <w:r>
        <w:rPr>
          <w:rFonts w:hint="eastAsia"/>
          <w:sz w:val="32"/>
          <w:szCs w:val="32"/>
        </w:rPr>
        <w:t>2021年</w:t>
      </w:r>
      <w:r>
        <w:rPr>
          <w:rFonts w:hint="eastAsia"/>
          <w:sz w:val="32"/>
          <w:szCs w:val="32"/>
          <w:lang w:val="en-US" w:eastAsia="zh-CN"/>
        </w:rPr>
        <w:t>8</w:t>
      </w:r>
      <w:r>
        <w:rPr>
          <w:rFonts w:hint="eastAsia"/>
          <w:sz w:val="32"/>
          <w:szCs w:val="32"/>
        </w:rPr>
        <w:t>月</w:t>
      </w:r>
      <w:r>
        <w:rPr>
          <w:rFonts w:hint="eastAsia"/>
          <w:sz w:val="32"/>
          <w:szCs w:val="32"/>
          <w:lang w:val="en-US" w:eastAsia="zh-CN"/>
        </w:rPr>
        <w:t>30</w:t>
      </w:r>
      <w:r>
        <w:rPr>
          <w:rFonts w:hint="eastAsia"/>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533"/>
    <w:multiLevelType w:val="multilevel"/>
    <w:tmpl w:val="2D832533"/>
    <w:lvl w:ilvl="0" w:tentative="0">
      <w:start w:val="1"/>
      <w:numFmt w:val="upperLetter"/>
      <w:pStyle w:val="2"/>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F89E6B6"/>
    <w:multiLevelType w:val="singleLevel"/>
    <w:tmpl w:val="6F89E6B6"/>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7A"/>
    <w:rsid w:val="000045E6"/>
    <w:rsid w:val="0014246A"/>
    <w:rsid w:val="00175932"/>
    <w:rsid w:val="00254FED"/>
    <w:rsid w:val="003F079A"/>
    <w:rsid w:val="004C621F"/>
    <w:rsid w:val="004E1C70"/>
    <w:rsid w:val="005911E1"/>
    <w:rsid w:val="0066305E"/>
    <w:rsid w:val="007775A4"/>
    <w:rsid w:val="007959D7"/>
    <w:rsid w:val="007D0EC1"/>
    <w:rsid w:val="007D4367"/>
    <w:rsid w:val="00875C7A"/>
    <w:rsid w:val="009A6B7B"/>
    <w:rsid w:val="009B3F9F"/>
    <w:rsid w:val="00A93A48"/>
    <w:rsid w:val="00AA10F5"/>
    <w:rsid w:val="0153566D"/>
    <w:rsid w:val="01A7024D"/>
    <w:rsid w:val="03FE77BE"/>
    <w:rsid w:val="06F20193"/>
    <w:rsid w:val="075D4AC3"/>
    <w:rsid w:val="0A8367C9"/>
    <w:rsid w:val="0B727591"/>
    <w:rsid w:val="0C130068"/>
    <w:rsid w:val="15F8158A"/>
    <w:rsid w:val="1AB75527"/>
    <w:rsid w:val="1E287A82"/>
    <w:rsid w:val="219142D1"/>
    <w:rsid w:val="22104779"/>
    <w:rsid w:val="26A01A38"/>
    <w:rsid w:val="290174A1"/>
    <w:rsid w:val="29C44354"/>
    <w:rsid w:val="2AA709B7"/>
    <w:rsid w:val="336A1D36"/>
    <w:rsid w:val="3ABA31F4"/>
    <w:rsid w:val="3BC9595F"/>
    <w:rsid w:val="3DD26A4D"/>
    <w:rsid w:val="42F02039"/>
    <w:rsid w:val="46E66F22"/>
    <w:rsid w:val="49DC447D"/>
    <w:rsid w:val="4D037A37"/>
    <w:rsid w:val="4F894AF4"/>
    <w:rsid w:val="4FB5626D"/>
    <w:rsid w:val="511E4343"/>
    <w:rsid w:val="51222F66"/>
    <w:rsid w:val="51405866"/>
    <w:rsid w:val="52364942"/>
    <w:rsid w:val="527A6492"/>
    <w:rsid w:val="53F00777"/>
    <w:rsid w:val="54C33712"/>
    <w:rsid w:val="578423EC"/>
    <w:rsid w:val="58096C02"/>
    <w:rsid w:val="5D1C4803"/>
    <w:rsid w:val="6A2235E0"/>
    <w:rsid w:val="6B356208"/>
    <w:rsid w:val="6D005A3A"/>
    <w:rsid w:val="6F590DC3"/>
    <w:rsid w:val="6FB45095"/>
    <w:rsid w:val="70701481"/>
    <w:rsid w:val="71E8243B"/>
    <w:rsid w:val="72C15814"/>
    <w:rsid w:val="74451D4C"/>
    <w:rsid w:val="773615C6"/>
    <w:rsid w:val="7CEB738C"/>
    <w:rsid w:val="7DAE41DF"/>
    <w:rsid w:val="7F24044B"/>
    <w:rsid w:val="7FE1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numPr>
        <w:ilvl w:val="0"/>
        <w:numId w:val="1"/>
      </w:numPr>
      <w:spacing w:line="560" w:lineRule="exact"/>
      <w:jc w:val="left"/>
      <w:outlineLvl w:val="0"/>
    </w:pPr>
    <w:rPr>
      <w:rFonts w:ascii="楷体_GB2312" w:hAnsi="Arial Narrow" w:eastAsia="楷体_GB2312"/>
      <w:kern w:val="0"/>
      <w:sz w:val="28"/>
    </w:rPr>
  </w:style>
  <w:style w:type="paragraph" w:styleId="3">
    <w:name w:val="heading 2"/>
    <w:basedOn w:val="1"/>
    <w:next w:val="1"/>
    <w:link w:val="10"/>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2 Char"/>
    <w:basedOn w:val="9"/>
    <w:link w:val="3"/>
    <w:qFormat/>
    <w:uiPriority w:val="0"/>
    <w:rPr>
      <w:rFonts w:ascii="Arial" w:hAnsi="Arial" w:eastAsia="黑体"/>
      <w:b/>
      <w:bCs/>
      <w:sz w:val="32"/>
      <w:szCs w:val="32"/>
    </w:rPr>
  </w:style>
  <w:style w:type="character" w:customStyle="1" w:styleId="11">
    <w:name w:val="标题 1 Char"/>
    <w:basedOn w:val="9"/>
    <w:link w:val="2"/>
    <w:qFormat/>
    <w:uiPriority w:val="0"/>
    <w:rPr>
      <w:rFonts w:ascii="楷体_GB2312" w:hAnsi="Arial Narrow" w:eastAsia="楷体_GB2312"/>
      <w:kern w:val="0"/>
      <w:sz w:val="28"/>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BDB80-12D0-418F-B5DE-C35D017807C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1180</Words>
  <Characters>6726</Characters>
  <Lines>56</Lines>
  <Paragraphs>15</Paragraphs>
  <TotalTime>3</TotalTime>
  <ScaleCrop>false</ScaleCrop>
  <LinksUpToDate>false</LinksUpToDate>
  <CharactersWithSpaces>7891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2021-08-02T09:05:00Z</dcterms:created>
  <dc:creator>Administrator</dc:creator>
  <cp:lastModifiedBy>晓海</cp:lastModifiedBy>
  <cp:lastPrinted>2021-08-30T03:32:00Z</cp:lastPrinted>
  <dcterms:modified xsi:type="dcterms:W3CDTF">2021-09-13T08:02:13Z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8B8EE713C1A34A27BA43D28825128BF8</vt:lpwstr>
  </property>
</Properties>
</file>