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射洪市中医院发热门诊污水处理项目</w:t>
      </w:r>
    </w:p>
    <w:p>
      <w:pPr>
        <w:spacing w:line="540" w:lineRule="exact"/>
        <w:ind w:left="559" w:leftChars="266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一、厂家商家资格条件：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、具有独立承担民事责任的能力；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、具有良好的商业信誉和健全的财务会计制度；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3、具有履行合同所必须的设备和专业技术能力；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、具有依法缴纳税收和社会保障资金的良好纪律；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5、参加本次采购活动前三年内，在经营活动中无重大违法纪律；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6、法律、行政法规规定的其他条件；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招标控制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价：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25.6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</w:t>
      </w:r>
      <w:bookmarkStart w:id="5" w:name="_GoBack"/>
      <w:bookmarkEnd w:id="5"/>
    </w:p>
    <w:p>
      <w:pPr>
        <w:spacing w:line="540" w:lineRule="exac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三、项目基本情况</w:t>
      </w:r>
    </w:p>
    <w:p>
      <w:pPr>
        <w:rPr>
          <w:sz w:val="28"/>
          <w:szCs w:val="28"/>
        </w:rPr>
      </w:pPr>
      <w:bookmarkStart w:id="0" w:name="_Toc81811308"/>
      <w:r>
        <w:rPr>
          <w:rFonts w:hint="eastAsia"/>
          <w:sz w:val="28"/>
          <w:szCs w:val="28"/>
        </w:rPr>
        <w:t>1概况</w:t>
      </w:r>
      <w:bookmarkEnd w:id="0"/>
    </w:p>
    <w:p>
      <w:pPr>
        <w:snapToGrid w:val="0"/>
        <w:spacing w:line="360" w:lineRule="auto"/>
        <w:ind w:firstLine="560" w:firstLineChars="20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我院发热门诊污水主要原水为发热门诊科室内的医疗废水，含病人、医护人员及家属的冲厕、盥洗等排水和楼内卫生排水。预估发热门诊污水规模为</w:t>
      </w:r>
      <w:r>
        <w:rPr>
          <w:rFonts w:eastAsia="宋体"/>
          <w:sz w:val="28"/>
          <w:szCs w:val="28"/>
        </w:rPr>
        <w:t>5</w:t>
      </w:r>
      <w:r>
        <w:rPr>
          <w:rFonts w:hint="eastAsia" w:eastAsia="宋体"/>
          <w:sz w:val="28"/>
          <w:szCs w:val="28"/>
        </w:rPr>
        <w:t>m</w:t>
      </w:r>
      <w:r>
        <w:rPr>
          <w:rFonts w:hint="eastAsia" w:eastAsia="宋体"/>
          <w:sz w:val="28"/>
          <w:szCs w:val="28"/>
          <w:vertAlign w:val="superscript"/>
        </w:rPr>
        <w:t>3</w:t>
      </w:r>
      <w:r>
        <w:rPr>
          <w:rFonts w:hint="eastAsia" w:eastAsia="宋体"/>
          <w:sz w:val="28"/>
          <w:szCs w:val="28"/>
        </w:rPr>
        <w:t>/d</w:t>
      </w:r>
    </w:p>
    <w:p>
      <w:pPr>
        <w:snapToGrid w:val="0"/>
        <w:spacing w:line="360" w:lineRule="auto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2设计依据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《中华人民共和国环境保护法》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《中华人民共和国环境影响评价法》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《污水综合排放标准》（GB8978-1996）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《医疗机构水污染物排放标准》（GB 18466-2005）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《室外排水设计规范》（GB50014-2006）2011年版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《水处理工程师手册》，化学工业出版社，2000年。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《排水工程 下册 第四版》建筑工业出版社 1999年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《环境工程设计》化工出版社，2009年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《环境工程技术手册》科学出版社，2008年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《给水排水工程构筑物结构设计规范》(GB50069-2002)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《工业企业设计卫生标准》(GBZ1-2010)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《工业企业厂界环境噪声排放标准》(GB12348-2008)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《医院污水处理工程技术规范》HJ 2029-2013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业主提供的文件和预留废水处理站用地平面图。</w:t>
      </w:r>
      <w:bookmarkStart w:id="1" w:name="_Toc81811310"/>
    </w:p>
    <w:p>
      <w:pPr>
        <w:snapToGrid w:val="0"/>
        <w:spacing w:line="360" w:lineRule="auto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3设计原则</w:t>
      </w:r>
      <w:bookmarkEnd w:id="1"/>
    </w:p>
    <w:p>
      <w:pPr>
        <w:spacing w:line="54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严格执行国家有关环境保护的各项规定，确保出水达到有关排放标准。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采用目前国内成熟、实用的处理工艺，稳定可靠地达到治理目标要求。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工艺技术条件控制实现自动化，保证工艺的稳定性，减轻工人劳动强度。技术路线简单明了，操作管理方便，工艺流程抗冲击能力强。</w:t>
      </w:r>
    </w:p>
    <w:p>
      <w:pPr>
        <w:spacing w:line="54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在上述前提下，做到投资少，运行费用低。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4工程界限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179" w:bottom="1701" w:left="1270" w:header="851" w:footer="851" w:gutter="0"/>
          <w:pgNumType w:start="1"/>
          <w:cols w:space="720" w:num="1"/>
          <w:docGrid w:linePitch="428" w:charSpace="0"/>
        </w:sect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本工程设计范围:只包括含污水站内所有整套处理设备和系统</w:t>
      </w:r>
      <w:r>
        <w:rPr>
          <w:rFonts w:ascii="宋体" w:hAnsi="宋体" w:eastAsia="宋体" w:cs="宋体"/>
          <w:color w:val="000000"/>
          <w:sz w:val="28"/>
          <w:szCs w:val="28"/>
        </w:rPr>
        <w:t>。现场基建相关工作及报价亦不在本方案范围内。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电力电缆的设计界面为污水处理站的主电源柜接入端始，电源柜端之前的进线电缆由医院负责接入。本工程所需自来水压力0.20MPa以上，动力电源380V，由医院负责接入污水站内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rPr>
          <w:sz w:val="28"/>
          <w:szCs w:val="28"/>
        </w:rPr>
      </w:pPr>
      <w:bookmarkStart w:id="2" w:name="_Toc81811312"/>
      <w:r>
        <w:rPr>
          <w:rFonts w:hint="eastAsia"/>
          <w:sz w:val="28"/>
          <w:szCs w:val="28"/>
        </w:rPr>
        <w:t>5排放执行指标</w:t>
      </w:r>
      <w:bookmarkEnd w:id="2"/>
    </w:p>
    <w:p>
      <w:pPr>
        <w:snapToGrid w:val="0"/>
        <w:spacing w:line="360" w:lineRule="auto"/>
        <w:ind w:firstLine="560" w:firstLineChars="200"/>
        <w:jc w:val="left"/>
        <w:rPr>
          <w:rFonts w:eastAsia="宋体" w:cs="仿宋_GB2312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污水经处理后应达到</w:t>
      </w:r>
      <w:r>
        <w:rPr>
          <w:rFonts w:hint="eastAsia" w:eastAsia="宋体" w:cs="仿宋_GB2312"/>
          <w:snapToGrid w:val="0"/>
          <w:sz w:val="28"/>
          <w:szCs w:val="28"/>
        </w:rPr>
        <w:t>《医疗机构水污染物排放标准》(GB18466-2005)</w:t>
      </w:r>
      <w:r>
        <w:rPr>
          <w:rStyle w:val="28"/>
          <w:rFonts w:hint="eastAsia" w:eastAsia="宋体" w:cs="仿宋_GB2312"/>
          <w:snapToGrid w:val="0"/>
          <w:szCs w:val="28"/>
        </w:rPr>
        <w:t>表1中传染病、结核病医疗机构水污染物排放限值</w:t>
      </w:r>
      <w:r>
        <w:rPr>
          <w:rFonts w:hint="eastAsia" w:eastAsia="宋体" w:cs="仿宋_GB2312"/>
          <w:bCs/>
          <w:sz w:val="28"/>
          <w:szCs w:val="28"/>
        </w:rPr>
        <w:t>中：</w:t>
      </w:r>
      <w:r>
        <w:rPr>
          <w:rFonts w:hint="eastAsia" w:eastAsia="宋体" w:cs="仿宋_GB2312"/>
          <w:sz w:val="28"/>
          <w:szCs w:val="28"/>
        </w:rPr>
        <w:t>粪大肠菌群数≤ 100 MPN/L，肠道致病菌不得检出，肠道病毒不得检出，结核杆菌不得检出。</w:t>
      </w:r>
    </w:p>
    <w:p>
      <w:pPr>
        <w:widowControl/>
        <w:numPr>
          <w:ilvl w:val="0"/>
          <w:numId w:val="1"/>
        </w:numPr>
        <w:tabs>
          <w:tab w:val="left" w:pos="647"/>
        </w:tabs>
        <w:wordWrap w:val="0"/>
        <w:snapToGrid w:val="0"/>
        <w:spacing w:line="360" w:lineRule="auto"/>
        <w:ind w:left="225" w:firstLine="560" w:firstLineChars="20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主要出水指标如下表：</w:t>
      </w:r>
    </w:p>
    <w:p>
      <w:pPr>
        <w:snapToGrid w:val="0"/>
        <w:spacing w:line="360" w:lineRule="auto"/>
        <w:ind w:right="452" w:firstLine="482" w:firstLineChars="200"/>
        <w:jc w:val="left"/>
        <w:rPr>
          <w:rFonts w:eastAsia="宋体"/>
          <w:sz w:val="24"/>
        </w:rPr>
      </w:pPr>
      <w:r>
        <w:rPr>
          <w:rFonts w:hint="eastAsia" w:eastAsia="宋体"/>
          <w:b/>
          <w:sz w:val="24"/>
        </w:rPr>
        <w:t xml:space="preserve">排放指标   </w:t>
      </w:r>
      <w:r>
        <w:rPr>
          <w:rFonts w:hint="eastAsia" w:eastAsia="宋体"/>
          <w:color w:val="000000"/>
          <w:sz w:val="24"/>
        </w:rPr>
        <w:t xml:space="preserve">     </w:t>
      </w:r>
      <w:r>
        <w:rPr>
          <w:rFonts w:hint="eastAsia" w:eastAsia="宋体"/>
          <w:sz w:val="24"/>
        </w:rPr>
        <w:t>单位（mg/L，pH无单位）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1098"/>
        <w:gridCol w:w="1098"/>
        <w:gridCol w:w="2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污染物名称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240" w:firstLineChars="1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pH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总余氯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粪大肠菌群数</w:t>
            </w:r>
          </w:p>
          <w:p>
            <w:pPr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(MPN/L)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59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水质指标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240" w:firstLineChars="1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6-9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≤</w:t>
            </w:r>
            <w:r>
              <w:rPr>
                <w:rFonts w:eastAsia="宋体"/>
                <w:sz w:val="24"/>
              </w:rPr>
              <w:t>1</w:t>
            </w:r>
            <w:r>
              <w:rPr>
                <w:rFonts w:hint="eastAsia" w:eastAsia="宋体"/>
                <w:sz w:val="24"/>
              </w:rPr>
              <w:t>．5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100</w:t>
            </w:r>
          </w:p>
        </w:tc>
      </w:tr>
    </w:tbl>
    <w:p>
      <w:pPr>
        <w:snapToGrid w:val="0"/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预消毒池出水口总余氯≥6</w:t>
      </w:r>
      <w:r>
        <w:rPr>
          <w:rFonts w:ascii="宋体" w:hAnsi="宋体" w:eastAsia="宋体"/>
          <w:sz w:val="28"/>
          <w:szCs w:val="28"/>
        </w:rPr>
        <w:t>.5</w:t>
      </w:r>
      <w:r>
        <w:rPr>
          <w:rFonts w:hint="eastAsia" w:ascii="宋体" w:hAnsi="宋体" w:eastAsia="宋体"/>
          <w:sz w:val="28"/>
          <w:szCs w:val="28"/>
        </w:rPr>
        <w:t xml:space="preserve"> mg/L，经脱氯后总余氯≤1</w:t>
      </w:r>
      <w:r>
        <w:rPr>
          <w:rFonts w:ascii="宋体" w:hAnsi="宋体" w:eastAsia="宋体"/>
          <w:sz w:val="28"/>
          <w:szCs w:val="28"/>
        </w:rPr>
        <w:t>.5</w:t>
      </w:r>
      <w:r>
        <w:rPr>
          <w:rFonts w:hint="eastAsia" w:ascii="宋体" w:hAnsi="宋体" w:eastAsia="宋体"/>
          <w:sz w:val="28"/>
          <w:szCs w:val="28"/>
        </w:rPr>
        <w:t xml:space="preserve"> mg/L。</w:t>
      </w:r>
    </w:p>
    <w:p>
      <w:pPr>
        <w:rPr>
          <w:rFonts w:ascii="宋体" w:hAnsi="宋体" w:eastAsia="宋体"/>
          <w:sz w:val="28"/>
          <w:szCs w:val="28"/>
        </w:rPr>
      </w:pPr>
      <w:bookmarkStart w:id="3" w:name="_Toc81811315"/>
      <w:r>
        <w:rPr>
          <w:rFonts w:hint="eastAsia" w:ascii="宋体" w:hAnsi="宋体" w:eastAsia="宋体"/>
          <w:sz w:val="28"/>
          <w:szCs w:val="28"/>
        </w:rPr>
        <w:t>工艺设计</w:t>
      </w:r>
      <w:bookmarkEnd w:id="3"/>
    </w:p>
    <w:p>
      <w:pPr>
        <w:rPr>
          <w:rFonts w:ascii="宋体" w:hAnsi="宋体" w:eastAsia="宋体"/>
          <w:sz w:val="28"/>
          <w:szCs w:val="28"/>
        </w:rPr>
      </w:pPr>
      <w:bookmarkStart w:id="4" w:name="_Toc81811317"/>
      <w:r>
        <w:rPr>
          <w:rFonts w:hint="eastAsia" w:ascii="宋体" w:hAnsi="宋体" w:eastAsia="宋体"/>
          <w:sz w:val="28"/>
          <w:szCs w:val="28"/>
        </w:rPr>
        <w:t>工艺流程示意图</w:t>
      </w:r>
      <w:bookmarkEnd w:id="4"/>
    </w:p>
    <w:p>
      <w:pPr>
        <w:snapToGrid w:val="0"/>
        <w:spacing w:line="360" w:lineRule="auto"/>
        <w:ind w:firstLine="420" w:firstLineChars="200"/>
        <w:jc w:val="left"/>
        <w:rPr>
          <w:rFonts w:eastAsia="宋体"/>
          <w:b/>
          <w:sz w:val="24"/>
        </w:rPr>
      </w:pPr>
      <w:r>
        <w:object>
          <v:shape id="_x0000_i1025" o:spt="75" type="#_x0000_t75" style="height:168.75pt;width:47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</w:p>
    <w:p>
      <w:pPr>
        <w:spacing w:line="360" w:lineRule="auto"/>
        <w:ind w:firstLine="482" w:firstLineChars="200"/>
        <w:jc w:val="center"/>
        <w:rPr>
          <w:rFonts w:eastAsia="宋体"/>
          <w:b/>
          <w:bCs/>
          <w:sz w:val="24"/>
        </w:rPr>
      </w:pPr>
      <w:r>
        <w:rPr>
          <w:rFonts w:hint="eastAsia" w:eastAsia="宋体"/>
          <w:b/>
          <w:bCs/>
          <w:sz w:val="24"/>
        </w:rPr>
        <w:t>图2.1  污水处理工艺流程图</w:t>
      </w:r>
    </w:p>
    <w:p>
      <w:pPr>
        <w:spacing w:line="540" w:lineRule="exac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四、设备清单：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54"/>
        <w:gridCol w:w="2532"/>
        <w:gridCol w:w="797"/>
        <w:gridCol w:w="74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设 备 名 称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型 号 规 格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  位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数  量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一体化设备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L×B×H＝5×2×2（m）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碳钢制作，设备内部集成化粪池、预消毒池、脱氯池及清水池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人工格栅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格栅间隙n=5mm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水下部分SUS304，根据罐体内部情况进行合理布置。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提升泵（带切割）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WQK50-10-10，Q=10m3/h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H=10m，N=0.75kw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1用1备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液位计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液体测量范围：0-3m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消毒加药设备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N=0.5kw，浓度≤3%，V=200L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脱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氯设备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N=0.5kw，V=400L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Q=60L/h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余氯在线设备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量程：0-20mg/L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管道及配件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DN100、DN50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电缆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RVV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米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2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电控柜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XL-21</w:t>
            </w:r>
          </w:p>
        </w:tc>
        <w:tc>
          <w:tcPr>
            <w:tcW w:w="1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9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3080" w:type="dxa"/>
          </w:tcPr>
          <w:p>
            <w:pPr>
              <w:spacing w:line="5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00"/>
      <w:jc w:val="center"/>
      <w:rPr>
        <w:color w:val="595959"/>
        <w:sz w:val="13"/>
      </w:rPr>
    </w:pPr>
    <w:r>
      <w:rPr>
        <w:sz w:val="15"/>
      </w:rPr>
      <w:t xml:space="preserve">第   </w:t>
    </w: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15"/>
      </w:rPr>
      <w:t xml:space="preserve">   页       </w:t>
    </w:r>
  </w:p>
  <w:p>
    <w:pPr>
      <w:tabs>
        <w:tab w:val="center" w:pos="4153"/>
        <w:tab w:val="right" w:pos="8306"/>
      </w:tabs>
      <w:ind w:right="360"/>
      <w:jc w:val="left"/>
      <w:rPr>
        <w:color w:val="0000FF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sz w:val="20"/>
      </w:rPr>
    </w:pPr>
    <w:r>
      <w:rPr>
        <w:i/>
        <w:color w:val="808080"/>
        <w:sz w:val="15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46297"/>
    <w:multiLevelType w:val="multilevel"/>
    <w:tmpl w:val="5C946297"/>
    <w:lvl w:ilvl="0" w:tentative="0">
      <w:start w:val="1"/>
      <w:numFmt w:val="decimal"/>
      <w:lvlText w:val="%1)"/>
      <w:lvlJc w:val="left"/>
      <w:pPr>
        <w:tabs>
          <w:tab w:val="left" w:pos="0"/>
        </w:tabs>
        <w:ind w:left="-193" w:hanging="420"/>
      </w:pPr>
      <w:rPr>
        <w:rFonts w:hint="default"/>
        <w:w w:val="10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067" w:hanging="420"/>
      </w:pPr>
      <w:rPr>
        <w:rFonts w:hint="default"/>
        <w:w w:val="100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487" w:hanging="420"/>
      </w:pPr>
      <w:rPr>
        <w:rFonts w:hint="default"/>
        <w:w w:val="100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907" w:hanging="420"/>
      </w:pPr>
      <w:rPr>
        <w:rFonts w:hint="default"/>
        <w:w w:val="100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327" w:hanging="420"/>
      </w:pPr>
      <w:rPr>
        <w:rFonts w:hint="default"/>
        <w:w w:val="100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747" w:hanging="420"/>
      </w:pPr>
      <w:rPr>
        <w:rFonts w:hint="default"/>
        <w:w w:val="100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167" w:hanging="420"/>
      </w:pPr>
      <w:rPr>
        <w:rFonts w:hint="default"/>
        <w:w w:val="100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587" w:hanging="420"/>
      </w:pPr>
      <w:rPr>
        <w:rFonts w:hint="default"/>
        <w:w w:val="100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007" w:hanging="42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ZTdiOTVmYmEzM2Y5MWNlMjQ3YTc4Mjg4MjNmMTgifQ=="/>
  </w:docVars>
  <w:rsids>
    <w:rsidRoot w:val="00A13309"/>
    <w:rsid w:val="000010C7"/>
    <w:rsid w:val="00001D9C"/>
    <w:rsid w:val="0001430F"/>
    <w:rsid w:val="00022C49"/>
    <w:rsid w:val="00035475"/>
    <w:rsid w:val="00035D12"/>
    <w:rsid w:val="000368A1"/>
    <w:rsid w:val="00045BE9"/>
    <w:rsid w:val="00047011"/>
    <w:rsid w:val="00052B47"/>
    <w:rsid w:val="00065344"/>
    <w:rsid w:val="00070DB2"/>
    <w:rsid w:val="0007586B"/>
    <w:rsid w:val="000A0CE4"/>
    <w:rsid w:val="000A4E06"/>
    <w:rsid w:val="000B00C1"/>
    <w:rsid w:val="000B160A"/>
    <w:rsid w:val="000C3B4C"/>
    <w:rsid w:val="0012055F"/>
    <w:rsid w:val="00137BA7"/>
    <w:rsid w:val="00174FC6"/>
    <w:rsid w:val="001A45EC"/>
    <w:rsid w:val="001A5032"/>
    <w:rsid w:val="001A5532"/>
    <w:rsid w:val="001A623B"/>
    <w:rsid w:val="001B33BB"/>
    <w:rsid w:val="001B7375"/>
    <w:rsid w:val="001D1D8F"/>
    <w:rsid w:val="001D7043"/>
    <w:rsid w:val="001E47C0"/>
    <w:rsid w:val="0020524C"/>
    <w:rsid w:val="00205CC2"/>
    <w:rsid w:val="00207710"/>
    <w:rsid w:val="002235E4"/>
    <w:rsid w:val="00226A18"/>
    <w:rsid w:val="00242CA5"/>
    <w:rsid w:val="00263E74"/>
    <w:rsid w:val="00273BD4"/>
    <w:rsid w:val="002855FE"/>
    <w:rsid w:val="002B42A9"/>
    <w:rsid w:val="002B7B75"/>
    <w:rsid w:val="002F192B"/>
    <w:rsid w:val="00322BC3"/>
    <w:rsid w:val="00327A18"/>
    <w:rsid w:val="00346B55"/>
    <w:rsid w:val="003726F5"/>
    <w:rsid w:val="003C6C53"/>
    <w:rsid w:val="003F1513"/>
    <w:rsid w:val="00403596"/>
    <w:rsid w:val="00405554"/>
    <w:rsid w:val="004165A8"/>
    <w:rsid w:val="0045408E"/>
    <w:rsid w:val="0049168A"/>
    <w:rsid w:val="004918BB"/>
    <w:rsid w:val="00497412"/>
    <w:rsid w:val="004A1FAF"/>
    <w:rsid w:val="004A6E08"/>
    <w:rsid w:val="004B18C3"/>
    <w:rsid w:val="004C7787"/>
    <w:rsid w:val="004F5E5E"/>
    <w:rsid w:val="00531814"/>
    <w:rsid w:val="00531F3A"/>
    <w:rsid w:val="0054296F"/>
    <w:rsid w:val="005520CA"/>
    <w:rsid w:val="0055247E"/>
    <w:rsid w:val="00567BEF"/>
    <w:rsid w:val="00584C9B"/>
    <w:rsid w:val="00594FF4"/>
    <w:rsid w:val="005A2198"/>
    <w:rsid w:val="005B4EA7"/>
    <w:rsid w:val="005D4643"/>
    <w:rsid w:val="005E716F"/>
    <w:rsid w:val="005F1CA9"/>
    <w:rsid w:val="0065643B"/>
    <w:rsid w:val="00661327"/>
    <w:rsid w:val="006650C2"/>
    <w:rsid w:val="0067388C"/>
    <w:rsid w:val="00682071"/>
    <w:rsid w:val="0068255F"/>
    <w:rsid w:val="00696C56"/>
    <w:rsid w:val="006A379E"/>
    <w:rsid w:val="006A38E9"/>
    <w:rsid w:val="006A6BB2"/>
    <w:rsid w:val="006D305C"/>
    <w:rsid w:val="006D4C15"/>
    <w:rsid w:val="006D7F95"/>
    <w:rsid w:val="006E3668"/>
    <w:rsid w:val="006F0E7B"/>
    <w:rsid w:val="006F49B8"/>
    <w:rsid w:val="006F705A"/>
    <w:rsid w:val="00705BA6"/>
    <w:rsid w:val="00714ED3"/>
    <w:rsid w:val="007523B0"/>
    <w:rsid w:val="00752C11"/>
    <w:rsid w:val="007578A9"/>
    <w:rsid w:val="00767932"/>
    <w:rsid w:val="007736E7"/>
    <w:rsid w:val="00780D70"/>
    <w:rsid w:val="00793A86"/>
    <w:rsid w:val="0079751D"/>
    <w:rsid w:val="007A39FA"/>
    <w:rsid w:val="007A5574"/>
    <w:rsid w:val="007B4345"/>
    <w:rsid w:val="007C3BFD"/>
    <w:rsid w:val="007D7A92"/>
    <w:rsid w:val="007F101D"/>
    <w:rsid w:val="007F1E81"/>
    <w:rsid w:val="00816C50"/>
    <w:rsid w:val="008508A4"/>
    <w:rsid w:val="00853363"/>
    <w:rsid w:val="00861664"/>
    <w:rsid w:val="008719F1"/>
    <w:rsid w:val="00877BE5"/>
    <w:rsid w:val="0088718F"/>
    <w:rsid w:val="008973E2"/>
    <w:rsid w:val="008A0B8C"/>
    <w:rsid w:val="008A120E"/>
    <w:rsid w:val="008A1413"/>
    <w:rsid w:val="008B2920"/>
    <w:rsid w:val="008C07B4"/>
    <w:rsid w:val="008E609E"/>
    <w:rsid w:val="00903D43"/>
    <w:rsid w:val="009204EE"/>
    <w:rsid w:val="00937141"/>
    <w:rsid w:val="00974EAC"/>
    <w:rsid w:val="00975D1B"/>
    <w:rsid w:val="0097798F"/>
    <w:rsid w:val="009870FD"/>
    <w:rsid w:val="009A212B"/>
    <w:rsid w:val="009A550A"/>
    <w:rsid w:val="009B1F78"/>
    <w:rsid w:val="009C3A35"/>
    <w:rsid w:val="009E22A3"/>
    <w:rsid w:val="009E5112"/>
    <w:rsid w:val="009F1482"/>
    <w:rsid w:val="00A006CF"/>
    <w:rsid w:val="00A13309"/>
    <w:rsid w:val="00A46973"/>
    <w:rsid w:val="00A8730F"/>
    <w:rsid w:val="00AC56E5"/>
    <w:rsid w:val="00AE1A16"/>
    <w:rsid w:val="00B0017F"/>
    <w:rsid w:val="00B230F4"/>
    <w:rsid w:val="00B26C49"/>
    <w:rsid w:val="00B321D9"/>
    <w:rsid w:val="00B505A2"/>
    <w:rsid w:val="00B51C1D"/>
    <w:rsid w:val="00B51C7A"/>
    <w:rsid w:val="00B914B9"/>
    <w:rsid w:val="00B91648"/>
    <w:rsid w:val="00B96262"/>
    <w:rsid w:val="00BB78E2"/>
    <w:rsid w:val="00BD70DE"/>
    <w:rsid w:val="00C14BAE"/>
    <w:rsid w:val="00C37225"/>
    <w:rsid w:val="00C510AD"/>
    <w:rsid w:val="00C7572F"/>
    <w:rsid w:val="00C8329F"/>
    <w:rsid w:val="00C92999"/>
    <w:rsid w:val="00CA3136"/>
    <w:rsid w:val="00CB3A78"/>
    <w:rsid w:val="00CB488F"/>
    <w:rsid w:val="00CB69FD"/>
    <w:rsid w:val="00CE01CB"/>
    <w:rsid w:val="00CE37B6"/>
    <w:rsid w:val="00CF1D44"/>
    <w:rsid w:val="00D02742"/>
    <w:rsid w:val="00D11637"/>
    <w:rsid w:val="00D30DEC"/>
    <w:rsid w:val="00D4216B"/>
    <w:rsid w:val="00D53206"/>
    <w:rsid w:val="00D57B28"/>
    <w:rsid w:val="00D678FA"/>
    <w:rsid w:val="00D72B6B"/>
    <w:rsid w:val="00D74730"/>
    <w:rsid w:val="00D91E2C"/>
    <w:rsid w:val="00D972D6"/>
    <w:rsid w:val="00DA17FF"/>
    <w:rsid w:val="00E00D17"/>
    <w:rsid w:val="00E011B1"/>
    <w:rsid w:val="00E06C0E"/>
    <w:rsid w:val="00E104EC"/>
    <w:rsid w:val="00E118AC"/>
    <w:rsid w:val="00E13EAE"/>
    <w:rsid w:val="00E235E7"/>
    <w:rsid w:val="00E47079"/>
    <w:rsid w:val="00E61C80"/>
    <w:rsid w:val="00E71991"/>
    <w:rsid w:val="00E72868"/>
    <w:rsid w:val="00E73CFA"/>
    <w:rsid w:val="00E8320C"/>
    <w:rsid w:val="00E8460C"/>
    <w:rsid w:val="00E86070"/>
    <w:rsid w:val="00E90AAE"/>
    <w:rsid w:val="00EA4683"/>
    <w:rsid w:val="00EA51E5"/>
    <w:rsid w:val="00EF3787"/>
    <w:rsid w:val="00EF4295"/>
    <w:rsid w:val="00F01648"/>
    <w:rsid w:val="00F07393"/>
    <w:rsid w:val="00F226A3"/>
    <w:rsid w:val="00F3386E"/>
    <w:rsid w:val="00F76673"/>
    <w:rsid w:val="00F80148"/>
    <w:rsid w:val="00FB1884"/>
    <w:rsid w:val="00FB39BB"/>
    <w:rsid w:val="00FD0340"/>
    <w:rsid w:val="00FD5526"/>
    <w:rsid w:val="00FE0385"/>
    <w:rsid w:val="00FF29E9"/>
    <w:rsid w:val="00FF512E"/>
    <w:rsid w:val="00FF7720"/>
    <w:rsid w:val="01E43396"/>
    <w:rsid w:val="11C26748"/>
    <w:rsid w:val="4A3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Times New Roman" w:hAnsi="Times New Roman" w:eastAsia="黑体" w:cs="Times New Roman"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 w:eastAsia="宋体" w:cs="Times New Roman"/>
      <w:sz w:val="24"/>
      <w:szCs w:val="20"/>
    </w:rPr>
  </w:style>
  <w:style w:type="paragraph" w:styleId="6">
    <w:name w:val="Closing"/>
    <w:basedOn w:val="1"/>
    <w:link w:val="20"/>
    <w:semiHidden/>
    <w:unhideWhenUsed/>
    <w:qFormat/>
    <w:uiPriority w:val="99"/>
    <w:pPr>
      <w:ind w:left="100" w:leftChars="2100"/>
    </w:pPr>
  </w:style>
  <w:style w:type="paragraph" w:styleId="7">
    <w:name w:val="Body Text Indent 2"/>
    <w:basedOn w:val="1"/>
    <w:link w:val="18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2">
    <w:name w:val="Message Header"/>
    <w:basedOn w:val="1"/>
    <w:next w:val="6"/>
    <w:link w:val="19"/>
    <w:qFormat/>
    <w:uiPriority w:val="0"/>
    <w:pPr>
      <w:widowControl/>
      <w:shd w:val="pct20" w:color="auto" w:fill="auto"/>
      <w:spacing w:line="360" w:lineRule="auto"/>
      <w:ind w:left="500" w:leftChars="500"/>
      <w:jc w:val="left"/>
    </w:pPr>
    <w:rPr>
      <w:rFonts w:ascii="Arial" w:hAnsi="Arial" w:eastAsia="宋体" w:cs="Arial"/>
      <w:kern w:val="0"/>
      <w:sz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18">
    <w:name w:val="正文文本缩进 2 Char"/>
    <w:basedOn w:val="15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信息标题 Char"/>
    <w:basedOn w:val="15"/>
    <w:link w:val="12"/>
    <w:qFormat/>
    <w:uiPriority w:val="0"/>
    <w:rPr>
      <w:rFonts w:ascii="Arial" w:hAnsi="Arial" w:eastAsia="宋体" w:cs="Arial"/>
      <w:kern w:val="0"/>
      <w:sz w:val="24"/>
      <w:szCs w:val="24"/>
      <w:shd w:val="pct20" w:color="auto" w:fill="auto"/>
    </w:rPr>
  </w:style>
  <w:style w:type="character" w:customStyle="1" w:styleId="20">
    <w:name w:val="结束语 Char"/>
    <w:basedOn w:val="15"/>
    <w:link w:val="6"/>
    <w:semiHidden/>
    <w:qFormat/>
    <w:uiPriority w:val="99"/>
    <w:rPr>
      <w:szCs w:val="24"/>
    </w:rPr>
  </w:style>
  <w:style w:type="character" w:customStyle="1" w:styleId="21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3 Char"/>
    <w:basedOn w:val="15"/>
    <w:link w:val="4"/>
    <w:semiHidden/>
    <w:qFormat/>
    <w:uiPriority w:val="0"/>
    <w:rPr>
      <w:rFonts w:ascii="Times New Roman" w:hAnsi="Times New Roman" w:eastAsia="黑体" w:cs="Times New Roman"/>
      <w:bCs/>
      <w:sz w:val="28"/>
      <w:szCs w:val="28"/>
    </w:rPr>
  </w:style>
  <w:style w:type="paragraph" w:customStyle="1" w:styleId="24">
    <w:name w:val="Default Tex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图表文字"/>
    <w:basedOn w:val="1"/>
    <w:next w:val="1"/>
    <w:qFormat/>
    <w:uiPriority w:val="0"/>
    <w:pPr>
      <w:spacing w:line="312" w:lineRule="auto"/>
      <w:jc w:val="center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content1"/>
    <w:qFormat/>
    <w:uiPriority w:val="0"/>
    <w:rPr>
      <w:sz w:val="28"/>
    </w:rPr>
  </w:style>
  <w:style w:type="character" w:customStyle="1" w:styleId="29">
    <w:name w:val="副标题 Char"/>
    <w:basedOn w:val="15"/>
    <w:link w:val="11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0F3B-E5A2-4276-8A61-91C40CA66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1160</Words>
  <Characters>1404</Characters>
  <Lines>11</Lines>
  <Paragraphs>3</Paragraphs>
  <TotalTime>5</TotalTime>
  <ScaleCrop>false</ScaleCrop>
  <LinksUpToDate>false</LinksUpToDate>
  <CharactersWithSpaces>1435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2022-07-31T08:53:00Z</dcterms:created>
  <dc:creator>何 俊波</dc:creator>
  <cp:lastModifiedBy>美人之贻</cp:lastModifiedBy>
  <cp:lastPrinted>2021-03-24T03:20:00Z</cp:lastPrinted>
  <dcterms:modified xsi:type="dcterms:W3CDTF">2022-09-08T02:15:10Z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4B0A24D77AAF4A21AD097873FB74F2DE</vt:lpwstr>
  </property>
</Properties>
</file>