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电子鼻咽喉镜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评分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办法</w:t>
      </w: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89"/>
        <w:gridCol w:w="745"/>
        <w:gridCol w:w="409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评分因素及权重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报价40%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设备报价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分 以本次最低投标报价为基准价，得满分，投标报价得分=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0分×(基准价／投标报价)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技术要求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完全满足文件“技术参数要求”没有负偏离得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分。对招标参数要求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△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部分不满足扣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分，其余参数每一项，不满足扣3分。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履约能力6%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供应商具有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类似项目业绩，每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1个得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最多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实施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及售后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方案10%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-SA"/>
              </w:rPr>
              <w:t>内容至少包含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：①项目总体实施计划；②进度保障措施；③质量保障措施；④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-SA"/>
              </w:rPr>
              <w:t>产品供货方案。项目实施方案内容完整且符合采购需求得10分，每有一项内容缺失或存在重大缺陷或内容与本项目无关的扣3分，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每有一项表述不够完整或不够合理的扣1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分，本项分值扣完为止。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响应文件规范性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%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响应文件制作规范，没有细微偏差情形的得1分；有一项细微偏差扣0.5分，直至该项分值扣完为止。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jc w:val="left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备注：本比选评分法最终解释权归射洪市中医院采购小组。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C260E0D"/>
    <w:rsid w:val="0C6161A6"/>
    <w:rsid w:val="0DBD6240"/>
    <w:rsid w:val="0F380424"/>
    <w:rsid w:val="3192567C"/>
    <w:rsid w:val="407627FD"/>
    <w:rsid w:val="739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465</Characters>
  <Lines>0</Lines>
  <Paragraphs>0</Paragraphs>
  <TotalTime>0</TotalTime>
  <ScaleCrop>false</ScaleCrop>
  <LinksUpToDate>false</LinksUpToDate>
  <CharactersWithSpaces>466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2023-08-28T07:19:00Z</dcterms:created>
  <dc:creator>admin</dc:creator>
  <cp:lastModifiedBy>李晴晴</cp:lastModifiedBy>
  <dcterms:modified xsi:type="dcterms:W3CDTF">2023-09-18T01:05:53Z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42B87F3039EB450289F8A2B448F91B99_12</vt:lpwstr>
  </property>
</Properties>
</file>