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 xml:space="preserve">    </w:t>
      </w:r>
      <w:bookmarkStart w:id="0" w:name="_GoBack"/>
      <w:r>
        <w:rPr>
          <w:rFonts w:hint="eastAsia" w:ascii="宋体" w:hAnsi="宋体" w:eastAsia="宋体"/>
          <w:sz w:val="44"/>
          <w:szCs w:val="44"/>
        </w:rPr>
        <w:t xml:space="preserve"> 电脑骨创伤治疗仪参数需求</w:t>
      </w:r>
      <w:bookmarkEnd w:id="0"/>
    </w:p>
    <w:p>
      <w:pPr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1、适用范围:适用于促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进</w:t>
      </w:r>
      <w:r>
        <w:rPr>
          <w:rFonts w:hint="eastAsia" w:ascii="宋体" w:hAnsi="宋体" w:eastAsia="宋体"/>
          <w:sz w:val="32"/>
          <w:szCs w:val="32"/>
        </w:rPr>
        <w:t>骨折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愈合</w:t>
      </w:r>
      <w:r>
        <w:rPr>
          <w:rFonts w:hint="eastAsia" w:ascii="宋体" w:hAnsi="宋体" w:eastAsia="宋体"/>
          <w:sz w:val="32"/>
          <w:szCs w:val="32"/>
        </w:rPr>
        <w:t>、软组织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肿胀</w:t>
      </w:r>
      <w:r>
        <w:rPr>
          <w:rFonts w:hint="eastAsia" w:ascii="宋体" w:hAnsi="宋体" w:eastAsia="宋体"/>
          <w:sz w:val="32"/>
          <w:szCs w:val="32"/>
        </w:rPr>
        <w:t>消退及缓解病人的疼痛</w:t>
      </w:r>
    </w:p>
    <w:p>
      <w:pPr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44"/>
          <w:szCs w:val="44"/>
        </w:rPr>
        <w:t>★</w:t>
      </w:r>
      <w:r>
        <w:rPr>
          <w:rFonts w:hint="eastAsia" w:ascii="宋体" w:hAnsi="宋体" w:eastAsia="宋体"/>
          <w:sz w:val="32"/>
          <w:szCs w:val="32"/>
        </w:rPr>
        <w:t>2、治疗功能要求:同时具备内生电流疗法(电刺激)及磁热疗法(脉冲磁)二种功能</w:t>
      </w:r>
    </w:p>
    <w:p>
      <w:pPr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3、电刺激输出，治疗模式≥8种</w:t>
      </w:r>
    </w:p>
    <w:p>
      <w:pPr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4、电刺激输出，自动模式:模式≥7、电刺激输出，手动模式:模式≥8</w:t>
      </w:r>
    </w:p>
    <w:p>
      <w:pPr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5、电刺激输出，定组频率:4000Hz ，动组频:4000-4150Hz</w:t>
      </w:r>
    </w:p>
    <w:p>
      <w:pPr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6、可移动并有台车(可装配撑杆座)，显示方式:液晶显示界面</w:t>
      </w:r>
    </w:p>
    <w:p>
      <w:pPr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44"/>
          <w:szCs w:val="44"/>
        </w:rPr>
        <w:t>★</w:t>
      </w:r>
      <w:r>
        <w:rPr>
          <w:rFonts w:hint="eastAsia" w:ascii="宋体" w:hAnsi="宋体" w:eastAsia="宋体"/>
          <w:sz w:val="32"/>
          <w:szCs w:val="32"/>
        </w:rPr>
        <w:t>7、所有耗材通用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8、产品必须获得市级及以上的产品质量合格认证。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hZjY0YzIzNWM3ODhlMmQ2ZGVlZjg3ZDllMDQyMDAifQ=="/>
  </w:docVars>
  <w:rsids>
    <w:rsidRoot w:val="00DA2080"/>
    <w:rsid w:val="000E6BC2"/>
    <w:rsid w:val="002B3E14"/>
    <w:rsid w:val="00563D36"/>
    <w:rsid w:val="00950B51"/>
    <w:rsid w:val="00DA2080"/>
    <w:rsid w:val="00DD6BF3"/>
    <w:rsid w:val="45A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206</Characters>
  <Lines>1</Lines>
  <Paragraphs>1</Paragraphs>
  <TotalTime>77</TotalTime>
  <ScaleCrop>false</ScaleCrop>
  <LinksUpToDate>false</LinksUpToDate>
  <CharactersWithSpaces>241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2023-10-31T02:52:00Z</dcterms:created>
  <dc:creator>PC</dc:creator>
  <cp:lastModifiedBy>李晴晴</cp:lastModifiedBy>
  <dcterms:modified xsi:type="dcterms:W3CDTF">2023-11-07T03:17:11Z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0A9C5E228D1F4FF89EBB9E4F1F3EF362_12</vt:lpwstr>
  </property>
</Properties>
</file>